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AC1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资阳市雁江区人民医院</w:t>
      </w:r>
    </w:p>
    <w:p w14:paraId="54E799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sz w:val="36"/>
          <w:szCs w:val="36"/>
        </w:rPr>
      </w:pPr>
      <w:r>
        <w:rPr>
          <w:rFonts w:hint="eastAsia" w:ascii="方正小标宋简体" w:hAnsi="方正小标宋简体" w:eastAsia="方正小标宋简体"/>
          <w:sz w:val="36"/>
          <w:szCs w:val="36"/>
          <w:lang w:val="en-US" w:eastAsia="zh-CN"/>
        </w:rPr>
        <w:t>电视机（第三次）</w:t>
      </w:r>
      <w:r>
        <w:rPr>
          <w:rFonts w:hint="eastAsia" w:ascii="方正小标宋简体" w:hAnsi="方正小标宋简体" w:eastAsia="方正小标宋简体"/>
          <w:sz w:val="36"/>
          <w:szCs w:val="36"/>
        </w:rPr>
        <w:t>询价采购需求</w:t>
      </w:r>
    </w:p>
    <w:p w14:paraId="57197B92">
      <w:pPr>
        <w:keepNext w:val="0"/>
        <w:keepLines w:val="0"/>
        <w:pageBreakBefore w:val="0"/>
        <w:widowControl/>
        <w:numPr>
          <w:ilvl w:val="255"/>
          <w:numId w:val="0"/>
        </w:numPr>
        <w:shd w:val="clear" w:color="auto" w:fill="FFFFFF"/>
        <w:kinsoku/>
        <w:wordWrap/>
        <w:overflowPunct/>
        <w:topLinePunct w:val="0"/>
        <w:autoSpaceDE/>
        <w:autoSpaceDN/>
        <w:bidi w:val="0"/>
        <w:adjustRightInd/>
        <w:spacing w:line="360" w:lineRule="auto"/>
        <w:jc w:val="left"/>
        <w:rPr>
          <w:rFonts w:asciiTheme="minorEastAsia" w:hAnsiTheme="minorEastAsia" w:cstheme="minorEastAsia"/>
          <w:b/>
          <w:bCs/>
          <w:sz w:val="28"/>
          <w:szCs w:val="28"/>
        </w:rPr>
      </w:pPr>
    </w:p>
    <w:p w14:paraId="587448D3">
      <w:pPr>
        <w:keepNext w:val="0"/>
        <w:keepLines w:val="0"/>
        <w:pageBreakBefore w:val="0"/>
        <w:kinsoku/>
        <w:wordWrap/>
        <w:overflowPunct/>
        <w:topLinePunct w:val="0"/>
        <w:autoSpaceDE/>
        <w:autoSpaceDN/>
        <w:bidi w:val="0"/>
        <w:adjustRightInd/>
        <w:spacing w:line="360" w:lineRule="auto"/>
        <w:jc w:val="left"/>
        <w:rPr>
          <w:rFonts w:hint="eastAsia" w:asciiTheme="minorEastAsia" w:hAnsiTheme="minorEastAsia"/>
          <w:b/>
          <w:bCs/>
          <w:sz w:val="24"/>
          <w:szCs w:val="24"/>
        </w:rPr>
      </w:pPr>
      <w:r>
        <w:rPr>
          <w:rFonts w:hint="eastAsia" w:asciiTheme="minorEastAsia" w:hAnsiTheme="minorEastAsia"/>
          <w:b/>
          <w:bCs/>
          <w:sz w:val="24"/>
          <w:szCs w:val="24"/>
          <w:lang w:eastAsia="zh-CN"/>
        </w:rPr>
        <w:t>一、</w:t>
      </w:r>
      <w:r>
        <w:rPr>
          <w:rFonts w:hint="eastAsia" w:asciiTheme="minorEastAsia" w:hAnsiTheme="minorEastAsia"/>
          <w:b/>
          <w:bCs/>
          <w:sz w:val="24"/>
          <w:szCs w:val="24"/>
        </w:rPr>
        <w:t>采购清单</w:t>
      </w:r>
    </w:p>
    <w:tbl>
      <w:tblPr>
        <w:tblStyle w:val="14"/>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81"/>
        <w:gridCol w:w="1568"/>
        <w:gridCol w:w="1825"/>
        <w:gridCol w:w="2232"/>
      </w:tblGrid>
      <w:tr w14:paraId="1744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601FD650">
            <w:pPr>
              <w:jc w:val="center"/>
              <w:rPr>
                <w:rFonts w:ascii="宋体" w:hAnsi="宋体" w:cs="宋体"/>
                <w:b/>
                <w:bCs/>
                <w:sz w:val="24"/>
                <w:szCs w:val="24"/>
              </w:rPr>
            </w:pPr>
            <w:r>
              <w:rPr>
                <w:rFonts w:hint="eastAsia" w:ascii="宋体" w:hAnsi="宋体" w:cs="宋体"/>
                <w:b/>
                <w:bCs/>
                <w:sz w:val="24"/>
                <w:szCs w:val="24"/>
              </w:rPr>
              <w:t>序号</w:t>
            </w:r>
          </w:p>
        </w:tc>
        <w:tc>
          <w:tcPr>
            <w:tcW w:w="1072" w:type="pct"/>
            <w:tcBorders>
              <w:top w:val="single" w:color="auto" w:sz="4" w:space="0"/>
              <w:left w:val="nil"/>
              <w:bottom w:val="single" w:color="auto" w:sz="4" w:space="0"/>
              <w:right w:val="single" w:color="auto" w:sz="4" w:space="0"/>
            </w:tcBorders>
            <w:noWrap/>
            <w:vAlign w:val="center"/>
          </w:tcPr>
          <w:p w14:paraId="3390CA10">
            <w:pPr>
              <w:jc w:val="center"/>
              <w:rPr>
                <w:rFonts w:ascii="宋体" w:hAnsi="宋体" w:cs="宋体"/>
                <w:b/>
                <w:bCs/>
                <w:sz w:val="24"/>
                <w:szCs w:val="24"/>
              </w:rPr>
            </w:pPr>
            <w:r>
              <w:rPr>
                <w:rFonts w:hint="eastAsia" w:ascii="宋体" w:hAnsi="宋体" w:cs="宋体"/>
                <w:b/>
                <w:bCs/>
                <w:sz w:val="24"/>
                <w:szCs w:val="24"/>
              </w:rPr>
              <w:t>产品名称</w:t>
            </w:r>
          </w:p>
        </w:tc>
        <w:tc>
          <w:tcPr>
            <w:tcW w:w="944" w:type="pct"/>
            <w:tcBorders>
              <w:top w:val="single" w:color="auto" w:sz="4" w:space="0"/>
              <w:left w:val="nil"/>
              <w:bottom w:val="single" w:color="auto" w:sz="4" w:space="0"/>
              <w:right w:val="single" w:color="auto" w:sz="4" w:space="0"/>
            </w:tcBorders>
            <w:noWrap/>
            <w:vAlign w:val="center"/>
          </w:tcPr>
          <w:p w14:paraId="185B45EE">
            <w:pPr>
              <w:jc w:val="center"/>
              <w:rPr>
                <w:rFonts w:hint="eastAsia" w:ascii="宋体" w:hAnsi="宋体" w:cs="宋体" w:eastAsiaTheme="minorEastAsia"/>
                <w:b/>
                <w:bCs/>
                <w:sz w:val="24"/>
                <w:szCs w:val="24"/>
                <w:lang w:eastAsia="zh-CN"/>
              </w:rPr>
            </w:pPr>
            <w:r>
              <w:rPr>
                <w:rFonts w:hint="eastAsia" w:ascii="宋体" w:hAnsi="宋体" w:cs="宋体"/>
                <w:b/>
                <w:bCs/>
                <w:sz w:val="24"/>
                <w:szCs w:val="24"/>
                <w:lang w:val="en-US" w:eastAsia="zh-CN"/>
              </w:rPr>
              <w:t>数量（单位）</w:t>
            </w:r>
          </w:p>
        </w:tc>
        <w:tc>
          <w:tcPr>
            <w:tcW w:w="1099" w:type="pct"/>
            <w:tcBorders>
              <w:top w:val="single" w:color="auto" w:sz="4" w:space="0"/>
              <w:left w:val="nil"/>
              <w:bottom w:val="single" w:color="auto" w:sz="4" w:space="0"/>
              <w:right w:val="single" w:color="auto" w:sz="4" w:space="0"/>
            </w:tcBorders>
            <w:noWrap/>
            <w:vAlign w:val="center"/>
          </w:tcPr>
          <w:p w14:paraId="03523DE6">
            <w:pPr>
              <w:jc w:val="center"/>
              <w:rPr>
                <w:rFonts w:ascii="宋体" w:hAnsi="宋体" w:cs="宋体"/>
                <w:b/>
                <w:bCs/>
                <w:sz w:val="24"/>
                <w:szCs w:val="24"/>
              </w:rPr>
            </w:pPr>
            <w:r>
              <w:rPr>
                <w:rFonts w:hint="eastAsia" w:ascii="宋体" w:hAnsi="宋体" w:cs="宋体"/>
                <w:b/>
                <w:bCs/>
                <w:sz w:val="24"/>
                <w:szCs w:val="24"/>
              </w:rPr>
              <w:t>最高单价限价（元）</w:t>
            </w:r>
          </w:p>
        </w:tc>
        <w:tc>
          <w:tcPr>
            <w:tcW w:w="1344" w:type="pct"/>
            <w:tcBorders>
              <w:top w:val="single" w:color="auto" w:sz="4" w:space="0"/>
              <w:left w:val="nil"/>
              <w:bottom w:val="single" w:color="auto" w:sz="4" w:space="0"/>
              <w:right w:val="single" w:color="auto" w:sz="4" w:space="0"/>
            </w:tcBorders>
            <w:noWrap/>
            <w:vAlign w:val="center"/>
          </w:tcPr>
          <w:p w14:paraId="566422B3">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最高限价</w:t>
            </w:r>
          </w:p>
          <w:p w14:paraId="5B2CC795">
            <w:pPr>
              <w:jc w:val="center"/>
              <w:rPr>
                <w:rFonts w:hint="default" w:ascii="宋体" w:hAnsi="宋体" w:cs="宋体" w:eastAsiaTheme="minorEastAsia"/>
                <w:b/>
                <w:bCs/>
                <w:sz w:val="24"/>
                <w:szCs w:val="24"/>
                <w:lang w:val="en-US" w:eastAsia="zh-CN"/>
              </w:rPr>
            </w:pPr>
            <w:r>
              <w:rPr>
                <w:rFonts w:hint="eastAsia" w:ascii="宋体" w:hAnsi="宋体" w:cs="宋体"/>
                <w:b/>
                <w:bCs/>
                <w:sz w:val="24"/>
                <w:szCs w:val="24"/>
                <w:lang w:val="en-US" w:eastAsia="zh-CN"/>
              </w:rPr>
              <w:t>（元）</w:t>
            </w:r>
          </w:p>
        </w:tc>
      </w:tr>
      <w:tr w14:paraId="11EE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176DD560">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72" w:type="pct"/>
            <w:tcBorders>
              <w:top w:val="single" w:color="auto" w:sz="4" w:space="0"/>
              <w:left w:val="nil"/>
              <w:bottom w:val="single" w:color="auto" w:sz="4" w:space="0"/>
              <w:right w:val="single" w:color="auto" w:sz="4" w:space="0"/>
            </w:tcBorders>
            <w:noWrap/>
            <w:vAlign w:val="center"/>
          </w:tcPr>
          <w:p w14:paraId="3FE7FACB">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电视机1</w:t>
            </w:r>
          </w:p>
        </w:tc>
        <w:tc>
          <w:tcPr>
            <w:tcW w:w="944" w:type="pct"/>
            <w:tcBorders>
              <w:top w:val="single" w:color="auto" w:sz="4" w:space="0"/>
              <w:left w:val="nil"/>
              <w:bottom w:val="single" w:color="auto" w:sz="4" w:space="0"/>
              <w:right w:val="single" w:color="auto" w:sz="4" w:space="0"/>
            </w:tcBorders>
            <w:noWrap/>
            <w:vAlign w:val="center"/>
          </w:tcPr>
          <w:p w14:paraId="42CA7D6B">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6台</w:t>
            </w:r>
          </w:p>
        </w:tc>
        <w:tc>
          <w:tcPr>
            <w:tcW w:w="1099" w:type="pct"/>
            <w:tcBorders>
              <w:top w:val="single" w:color="auto" w:sz="4" w:space="0"/>
              <w:left w:val="nil"/>
              <w:bottom w:val="single" w:color="auto" w:sz="4" w:space="0"/>
              <w:right w:val="single" w:color="auto" w:sz="4" w:space="0"/>
            </w:tcBorders>
            <w:noWrap/>
            <w:vAlign w:val="center"/>
          </w:tcPr>
          <w:p w14:paraId="31FA4FC3">
            <w:pPr>
              <w:keepNext w:val="0"/>
              <w:keepLines w:val="0"/>
              <w:widowControl/>
              <w:suppressLineNumbers w:val="0"/>
              <w:jc w:val="center"/>
              <w:textAlignment w:val="center"/>
              <w:rPr>
                <w:rFonts w:hint="default" w:ascii="Times New Roman" w:hAnsi="Times New Roman" w:cs="Times New Roman"/>
                <w:color w:val="auto"/>
                <w:sz w:val="24"/>
                <w:szCs w:val="24"/>
                <w:lang w:val="en-US"/>
              </w:rPr>
            </w:pPr>
            <w:r>
              <w:rPr>
                <w:rFonts w:hint="default" w:ascii="Times New Roman" w:hAnsi="Times New Roman" w:cs="Times New Roman"/>
                <w:i w:val="0"/>
                <w:iCs w:val="0"/>
                <w:strike w:val="0"/>
                <w:dstrike w:val="0"/>
                <w:color w:val="auto"/>
                <w:kern w:val="0"/>
                <w:sz w:val="24"/>
                <w:szCs w:val="24"/>
                <w:u w:val="none"/>
                <w:lang w:val="en-US" w:eastAsia="zh-CN" w:bidi="ar"/>
              </w:rPr>
              <w:t>2,500.00</w:t>
            </w:r>
          </w:p>
        </w:tc>
        <w:tc>
          <w:tcPr>
            <w:tcW w:w="1344" w:type="pct"/>
            <w:tcBorders>
              <w:top w:val="single" w:color="auto" w:sz="4" w:space="0"/>
              <w:left w:val="nil"/>
              <w:bottom w:val="single" w:color="auto" w:sz="4" w:space="0"/>
              <w:right w:val="single" w:color="auto" w:sz="4" w:space="0"/>
            </w:tcBorders>
            <w:noWrap/>
            <w:vAlign w:val="center"/>
          </w:tcPr>
          <w:p w14:paraId="6704C831">
            <w:pPr>
              <w:jc w:val="center"/>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lang w:val="en-US" w:eastAsia="zh-CN"/>
              </w:rPr>
              <w:t>15,000.00</w:t>
            </w:r>
          </w:p>
        </w:tc>
      </w:tr>
      <w:tr w14:paraId="1D53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75C8FC25">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072" w:type="pct"/>
            <w:tcBorders>
              <w:top w:val="single" w:color="auto" w:sz="4" w:space="0"/>
              <w:left w:val="nil"/>
              <w:bottom w:val="single" w:color="auto" w:sz="4" w:space="0"/>
              <w:right w:val="single" w:color="auto" w:sz="4" w:space="0"/>
            </w:tcBorders>
            <w:noWrap/>
            <w:vAlign w:val="center"/>
          </w:tcPr>
          <w:p w14:paraId="2450D1C4">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电视机2</w:t>
            </w:r>
          </w:p>
        </w:tc>
        <w:tc>
          <w:tcPr>
            <w:tcW w:w="944" w:type="pct"/>
            <w:tcBorders>
              <w:top w:val="single" w:color="auto" w:sz="4" w:space="0"/>
              <w:left w:val="nil"/>
              <w:bottom w:val="single" w:color="auto" w:sz="4" w:space="0"/>
              <w:right w:val="single" w:color="auto" w:sz="4" w:space="0"/>
            </w:tcBorders>
            <w:noWrap/>
            <w:vAlign w:val="center"/>
          </w:tcPr>
          <w:p w14:paraId="41C6F318">
            <w:pPr>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4台</w:t>
            </w:r>
          </w:p>
        </w:tc>
        <w:tc>
          <w:tcPr>
            <w:tcW w:w="1099" w:type="pct"/>
            <w:tcBorders>
              <w:top w:val="single" w:color="auto" w:sz="4" w:space="0"/>
              <w:left w:val="nil"/>
              <w:bottom w:val="single" w:color="auto" w:sz="4" w:space="0"/>
              <w:right w:val="single" w:color="auto" w:sz="4" w:space="0"/>
            </w:tcBorders>
            <w:noWrap/>
            <w:vAlign w:val="center"/>
          </w:tcPr>
          <w:p w14:paraId="3F399E70">
            <w:pPr>
              <w:keepNext w:val="0"/>
              <w:keepLines w:val="0"/>
              <w:widowControl/>
              <w:suppressLineNumbers w:val="0"/>
              <w:jc w:val="center"/>
              <w:textAlignment w:val="center"/>
              <w:rPr>
                <w:rFonts w:hint="default" w:ascii="Times New Roman" w:hAnsi="Times New Roman" w:cs="Times New Roman"/>
                <w:color w:val="auto"/>
                <w:sz w:val="24"/>
                <w:szCs w:val="24"/>
                <w:lang w:val="en-US"/>
              </w:rPr>
            </w:pPr>
            <w:r>
              <w:rPr>
                <w:rFonts w:hint="default" w:ascii="Times New Roman" w:hAnsi="Times New Roman" w:cs="Times New Roman"/>
                <w:i w:val="0"/>
                <w:iCs w:val="0"/>
                <w:strike w:val="0"/>
                <w:dstrike w:val="0"/>
                <w:color w:val="auto"/>
                <w:kern w:val="0"/>
                <w:sz w:val="24"/>
                <w:szCs w:val="24"/>
                <w:u w:val="none"/>
                <w:lang w:val="en-US" w:eastAsia="zh-CN" w:bidi="ar"/>
              </w:rPr>
              <w:t>4,000.00</w:t>
            </w:r>
          </w:p>
        </w:tc>
        <w:tc>
          <w:tcPr>
            <w:tcW w:w="1344" w:type="pct"/>
            <w:tcBorders>
              <w:top w:val="single" w:color="auto" w:sz="4" w:space="0"/>
              <w:left w:val="nil"/>
              <w:bottom w:val="single" w:color="auto" w:sz="4" w:space="0"/>
              <w:right w:val="single" w:color="auto" w:sz="4" w:space="0"/>
            </w:tcBorders>
            <w:noWrap/>
            <w:vAlign w:val="center"/>
          </w:tcPr>
          <w:p w14:paraId="662CDB5C">
            <w:pPr>
              <w:jc w:val="center"/>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lang w:val="en-US" w:eastAsia="zh-CN"/>
              </w:rPr>
              <w:t>16,000.00</w:t>
            </w:r>
          </w:p>
        </w:tc>
      </w:tr>
      <w:tr w14:paraId="2798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38" w:type="pct"/>
            <w:tcBorders>
              <w:top w:val="single" w:color="auto" w:sz="4" w:space="0"/>
              <w:left w:val="single" w:color="auto" w:sz="4" w:space="0"/>
              <w:bottom w:val="single" w:color="auto" w:sz="4" w:space="0"/>
              <w:right w:val="single" w:color="auto" w:sz="4" w:space="0"/>
            </w:tcBorders>
            <w:noWrap/>
            <w:vAlign w:val="center"/>
          </w:tcPr>
          <w:p w14:paraId="73D211D2">
            <w:pPr>
              <w:jc w:val="center"/>
              <w:rPr>
                <w:rFonts w:hint="default" w:ascii="Times New Roman" w:hAnsi="Times New Roman" w:cs="Times New Roman"/>
                <w:sz w:val="24"/>
                <w:szCs w:val="24"/>
              </w:rPr>
            </w:pPr>
          </w:p>
        </w:tc>
        <w:tc>
          <w:tcPr>
            <w:tcW w:w="1072" w:type="pct"/>
            <w:tcBorders>
              <w:top w:val="single" w:color="auto" w:sz="4" w:space="0"/>
              <w:left w:val="nil"/>
              <w:bottom w:val="single" w:color="auto" w:sz="4" w:space="0"/>
              <w:right w:val="single" w:color="auto" w:sz="4" w:space="0"/>
            </w:tcBorders>
            <w:noWrap/>
            <w:vAlign w:val="center"/>
          </w:tcPr>
          <w:p w14:paraId="203A31C5">
            <w:pPr>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合计</w:t>
            </w:r>
          </w:p>
        </w:tc>
        <w:tc>
          <w:tcPr>
            <w:tcW w:w="944" w:type="pct"/>
            <w:tcBorders>
              <w:top w:val="single" w:color="auto" w:sz="4" w:space="0"/>
              <w:left w:val="nil"/>
              <w:bottom w:val="single" w:color="auto" w:sz="4" w:space="0"/>
              <w:right w:val="single" w:color="auto" w:sz="4" w:space="0"/>
            </w:tcBorders>
            <w:noWrap/>
            <w:vAlign w:val="center"/>
          </w:tcPr>
          <w:p w14:paraId="36115103">
            <w:pPr>
              <w:jc w:val="center"/>
              <w:rPr>
                <w:rFonts w:hint="default" w:ascii="Times New Roman" w:hAnsi="Times New Roman" w:cs="Times New Roman"/>
                <w:sz w:val="24"/>
                <w:szCs w:val="24"/>
                <w:lang w:val="en-US" w:eastAsia="zh-CN"/>
              </w:rPr>
            </w:pPr>
          </w:p>
        </w:tc>
        <w:tc>
          <w:tcPr>
            <w:tcW w:w="1099" w:type="pct"/>
            <w:tcBorders>
              <w:top w:val="single" w:color="auto" w:sz="4" w:space="0"/>
              <w:left w:val="nil"/>
              <w:bottom w:val="single" w:color="auto" w:sz="4" w:space="0"/>
              <w:right w:val="single" w:color="auto" w:sz="4" w:space="0"/>
            </w:tcBorders>
            <w:noWrap/>
            <w:vAlign w:val="center"/>
          </w:tcPr>
          <w:p w14:paraId="1BECC17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24"/>
                <w:szCs w:val="24"/>
                <w:u w:val="none"/>
                <w:lang w:val="en-US" w:eastAsia="zh-CN" w:bidi="ar"/>
              </w:rPr>
            </w:pPr>
          </w:p>
        </w:tc>
        <w:tc>
          <w:tcPr>
            <w:tcW w:w="1344" w:type="pct"/>
            <w:tcBorders>
              <w:top w:val="single" w:color="auto" w:sz="4" w:space="0"/>
              <w:left w:val="nil"/>
              <w:bottom w:val="single" w:color="auto" w:sz="4" w:space="0"/>
              <w:right w:val="single" w:color="auto" w:sz="4" w:space="0"/>
            </w:tcBorders>
            <w:noWrap/>
            <w:vAlign w:val="center"/>
          </w:tcPr>
          <w:p w14:paraId="2D0B78C5">
            <w:pPr>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31,000.00</w:t>
            </w:r>
          </w:p>
        </w:tc>
      </w:tr>
    </w:tbl>
    <w:p w14:paraId="76AD868E">
      <w:pPr>
        <w:keepNext w:val="0"/>
        <w:keepLines w:val="0"/>
        <w:pageBreakBefore w:val="0"/>
        <w:kinsoku/>
        <w:wordWrap/>
        <w:overflowPunct/>
        <w:topLinePunct w:val="0"/>
        <w:autoSpaceDE/>
        <w:autoSpaceDN/>
        <w:bidi w:val="0"/>
        <w:adjustRightInd/>
        <w:spacing w:line="360" w:lineRule="auto"/>
        <w:jc w:val="left"/>
        <w:rPr>
          <w:rFonts w:hint="default" w:asciiTheme="minorEastAsia" w:hAnsiTheme="minorEastAsia" w:eastAsiaTheme="minorEastAsia"/>
          <w:b/>
          <w:bCs/>
          <w:sz w:val="24"/>
          <w:szCs w:val="24"/>
          <w:lang w:val="en-US" w:eastAsia="zh-CN"/>
        </w:rPr>
      </w:pPr>
      <w:r>
        <w:rPr>
          <w:rFonts w:hint="eastAsia" w:ascii="仿宋" w:hAnsi="仿宋" w:eastAsia="仿宋" w:cs="仿宋"/>
          <w:b w:val="0"/>
          <w:bCs w:val="0"/>
          <w:sz w:val="21"/>
          <w:szCs w:val="21"/>
        </w:rPr>
        <w:t>★</w:t>
      </w:r>
      <w:r>
        <w:rPr>
          <w:rFonts w:hint="eastAsia" w:asciiTheme="minorEastAsia" w:hAnsiTheme="minorEastAsia"/>
          <w:b/>
          <w:bCs/>
          <w:sz w:val="24"/>
          <w:szCs w:val="24"/>
          <w:lang w:val="en-US" w:eastAsia="zh-CN"/>
        </w:rPr>
        <w:t>二</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技术参数</w:t>
      </w:r>
    </w:p>
    <w:tbl>
      <w:tblPr>
        <w:tblStyle w:val="14"/>
        <w:tblW w:w="813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250"/>
        <w:gridCol w:w="5956"/>
      </w:tblGrid>
      <w:tr w14:paraId="0DBC4C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51C04762">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65DE7B2">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产品名称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2CD3BA05">
            <w:pPr>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主要技术参数</w:t>
            </w:r>
          </w:p>
        </w:tc>
      </w:tr>
      <w:tr w14:paraId="2DDBD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097DFF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5D31DBF3">
            <w:pPr>
              <w:autoSpaceDE w:val="0"/>
              <w:autoSpaceDN w:val="0"/>
              <w:adjustRightInd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电视机</w:t>
            </w:r>
            <w:r>
              <w:rPr>
                <w:rFonts w:hint="eastAsia" w:asciiTheme="minorEastAsia" w:hAnsiTheme="minorEastAsia" w:eastAsiaTheme="minorEastAsia" w:cstheme="minorEastAsia"/>
                <w:sz w:val="21"/>
                <w:szCs w:val="21"/>
                <w:lang w:val="en-US" w:eastAsia="zh-CN"/>
              </w:rPr>
              <w:t>1</w:t>
            </w:r>
          </w:p>
        </w:tc>
        <w:tc>
          <w:tcPr>
            <w:tcW w:w="5956" w:type="dxa"/>
            <w:tcBorders>
              <w:top w:val="single" w:color="auto" w:sz="4" w:space="0"/>
              <w:left w:val="single" w:color="auto" w:sz="4" w:space="0"/>
              <w:bottom w:val="single" w:color="auto" w:sz="4" w:space="0"/>
              <w:right w:val="single" w:color="auto" w:sz="4" w:space="0"/>
            </w:tcBorders>
            <w:noWrap w:val="0"/>
            <w:vAlign w:val="top"/>
          </w:tcPr>
          <w:p w14:paraId="3EC239AC">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1、屏幕尺寸：</w:t>
            </w:r>
            <w:r>
              <w:rPr>
                <w:rFonts w:hint="eastAsia" w:asciiTheme="minorEastAsia" w:hAnsiTheme="minorEastAsia" w:eastAsiaTheme="minorEastAsia" w:cstheme="minorEastAsia"/>
                <w:b w:val="0"/>
                <w:bCs w:val="0"/>
                <w:sz w:val="21"/>
                <w:szCs w:val="21"/>
                <w:lang w:val="en-US" w:eastAsia="zh-CN"/>
              </w:rPr>
              <w:t>55</w:t>
            </w:r>
            <w:r>
              <w:rPr>
                <w:rFonts w:hint="eastAsia" w:asciiTheme="minorEastAsia" w:hAnsiTheme="minorEastAsia" w:eastAsiaTheme="minorEastAsia" w:cstheme="minorEastAsia"/>
                <w:b w:val="0"/>
                <w:bCs w:val="0"/>
                <w:sz w:val="21"/>
                <w:szCs w:val="21"/>
              </w:rPr>
              <w:t>英寸</w:t>
            </w:r>
          </w:p>
          <w:p w14:paraId="74524FE2">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2、屏幕比例：16:9</w:t>
            </w:r>
          </w:p>
          <w:p w14:paraId="5A9AA117">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3、屏占比：≥97%</w:t>
            </w:r>
          </w:p>
          <w:p w14:paraId="11034543">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4、背光方式：直下式LED</w:t>
            </w:r>
          </w:p>
          <w:p w14:paraId="28CA8853">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5、物理分辨率：≥3840*2160</w:t>
            </w:r>
          </w:p>
          <w:p w14:paraId="198FADDE">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6、动态对比度：≥3000:1</w:t>
            </w:r>
          </w:p>
          <w:p w14:paraId="2A1E029D">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7、亮度：≥250nits</w:t>
            </w:r>
          </w:p>
          <w:p w14:paraId="29EC92B1">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8、响应速度：≤8ms</w:t>
            </w:r>
          </w:p>
          <w:p w14:paraId="55D53F6D">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9、可视角度：≥178°</w:t>
            </w:r>
          </w:p>
          <w:p w14:paraId="4A6E9752">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10、色域≥65%</w:t>
            </w:r>
          </w:p>
          <w:p w14:paraId="3286F984">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11、刷新频率：≥120HZ（HSR)</w:t>
            </w:r>
          </w:p>
          <w:p w14:paraId="7EAC0DC6">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12、操作系统版本不低于Android 9.0，CPU≥4核处理器，运行内存≥2GB，存储内存≥</w:t>
            </w:r>
            <w:r>
              <w:rPr>
                <w:rFonts w:hint="eastAsia" w:asciiTheme="minorEastAsia" w:hAnsiTheme="minorEastAsia" w:eastAsiaTheme="minorEastAsia" w:cstheme="minorEastAsia"/>
                <w:b w:val="0"/>
                <w:bCs w:val="0"/>
                <w:sz w:val="21"/>
                <w:szCs w:val="21"/>
                <w:lang w:val="en-US" w:eastAsia="zh-CN"/>
              </w:rPr>
              <w:t>16</w:t>
            </w:r>
            <w:r>
              <w:rPr>
                <w:rFonts w:hint="eastAsia" w:asciiTheme="minorEastAsia" w:hAnsiTheme="minorEastAsia" w:eastAsiaTheme="minorEastAsia" w:cstheme="minorEastAsia"/>
                <w:b w:val="0"/>
                <w:bCs w:val="0"/>
                <w:sz w:val="21"/>
                <w:szCs w:val="21"/>
              </w:rPr>
              <w:t>GB；支持DTMB，支持DVBC清流解码</w:t>
            </w:r>
          </w:p>
          <w:p w14:paraId="51C9CA17">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13、接口要求：HDMI2.0（及以上版本）接口≥2个、USB2.0（及以上版本）接口≥2个、网络接口≥1个、同轴接口≥1个、RF（DTMB）接口≥1个</w:t>
            </w:r>
          </w:p>
          <w:p w14:paraId="23A26C84">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14、支持勿扰模式，在待机状态下指示灯熄灭</w:t>
            </w:r>
          </w:p>
          <w:p w14:paraId="4CCADD6C">
            <w:pPr>
              <w:autoSpaceDE w:val="0"/>
              <w:autoSpaceDN w:val="0"/>
              <w:adjustRightInd w:val="0"/>
              <w:spacing w:line="360" w:lineRule="auto"/>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注：序号1至14</w:t>
            </w:r>
            <w:r>
              <w:rPr>
                <w:rFonts w:hint="eastAsia" w:asciiTheme="minorEastAsia" w:hAnsiTheme="minorEastAsia" w:eastAsiaTheme="minorEastAsia" w:cstheme="minorEastAsia"/>
                <w:b/>
                <w:bCs/>
                <w:sz w:val="21"/>
                <w:szCs w:val="21"/>
              </w:rPr>
              <w:t>均须提供国家认可的第三方检测报告复印件或产品彩页或产品说明书。</w:t>
            </w:r>
          </w:p>
          <w:p w14:paraId="32BB30E6">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highlight w:val="none"/>
              </w:rPr>
              <w:t>1</w:t>
            </w:r>
            <w:r>
              <w:rPr>
                <w:rFonts w:hint="eastAsia" w:asciiTheme="minorEastAsia" w:hAnsiTheme="minorEastAsia" w:eastAsiaTheme="minorEastAsia" w:cstheme="minorEastAsia"/>
                <w:b w:val="0"/>
                <w:bCs w:val="0"/>
                <w:sz w:val="21"/>
                <w:szCs w:val="21"/>
                <w:highlight w:val="none"/>
                <w:lang w:val="en-US" w:eastAsia="zh-CN"/>
              </w:rPr>
              <w:t>5</w:t>
            </w:r>
            <w:r>
              <w:rPr>
                <w:rFonts w:hint="eastAsia" w:asciiTheme="minorEastAsia" w:hAnsiTheme="minorEastAsia" w:eastAsiaTheme="minorEastAsia" w:cstheme="minorEastAsia"/>
                <w:b w:val="0"/>
                <w:bCs w:val="0"/>
                <w:sz w:val="21"/>
                <w:szCs w:val="21"/>
                <w:highlight w:val="none"/>
              </w:rPr>
              <w:t>、能效等级：≥2级</w:t>
            </w:r>
            <w:r>
              <w:rPr>
                <w:rFonts w:hint="eastAsia" w:asciiTheme="minorEastAsia" w:hAnsiTheme="minorEastAsia" w:eastAsiaTheme="minorEastAsia" w:cstheme="minorEastAsia"/>
                <w:b/>
                <w:bCs/>
                <w:sz w:val="21"/>
                <w:szCs w:val="21"/>
                <w:highlight w:val="none"/>
              </w:rPr>
              <w:t>（提供所投产品的节能产品认证证书扫描件或全国认证认可信息公共服务平(http://cx.cnca.cn)的认证信息截图）</w:t>
            </w:r>
          </w:p>
        </w:tc>
      </w:tr>
      <w:tr w14:paraId="7BE95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30F4BB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F2640AD">
            <w:pPr>
              <w:autoSpaceDE w:val="0"/>
              <w:autoSpaceDN w:val="0"/>
              <w:adjustRightInd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电视机</w:t>
            </w:r>
            <w:r>
              <w:rPr>
                <w:rFonts w:hint="eastAsia" w:asciiTheme="minorEastAsia" w:hAnsiTheme="minorEastAsia" w:eastAsiaTheme="minorEastAsia" w:cstheme="minorEastAsia"/>
                <w:sz w:val="21"/>
                <w:szCs w:val="21"/>
                <w:lang w:val="en-US" w:eastAsia="zh-CN"/>
              </w:rPr>
              <w:t>2</w:t>
            </w:r>
          </w:p>
        </w:tc>
        <w:tc>
          <w:tcPr>
            <w:tcW w:w="5956" w:type="dxa"/>
            <w:tcBorders>
              <w:top w:val="single" w:color="auto" w:sz="4" w:space="0"/>
              <w:left w:val="single" w:color="auto" w:sz="4" w:space="0"/>
              <w:bottom w:val="single" w:color="auto" w:sz="4" w:space="0"/>
              <w:right w:val="single" w:color="auto" w:sz="4" w:space="0"/>
            </w:tcBorders>
            <w:noWrap w:val="0"/>
            <w:vAlign w:val="top"/>
          </w:tcPr>
          <w:p w14:paraId="3E08164E">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1、屏幕尺寸：75英寸</w:t>
            </w:r>
          </w:p>
          <w:p w14:paraId="23F01DFA">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2、屏幕比例：16:9</w:t>
            </w:r>
          </w:p>
          <w:p w14:paraId="1F4CFD14">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3、屏占比：≥97%</w:t>
            </w:r>
          </w:p>
          <w:p w14:paraId="69D5D7A2">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4、背光方式：直下式LED</w:t>
            </w:r>
          </w:p>
          <w:p w14:paraId="161CFB40">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5、物理分辨率：≥3840*2160</w:t>
            </w:r>
          </w:p>
          <w:p w14:paraId="019B4402">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6、动态对比度：≥3000:1</w:t>
            </w:r>
          </w:p>
          <w:p w14:paraId="21E262E2">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7、亮度：≥250nits</w:t>
            </w:r>
          </w:p>
          <w:p w14:paraId="20DBC618">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8、响应速度：≤8ms</w:t>
            </w:r>
          </w:p>
          <w:p w14:paraId="0C683F79">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9、可视角度：≥178°</w:t>
            </w:r>
          </w:p>
          <w:p w14:paraId="7F0466FD">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10、色域≥65%</w:t>
            </w:r>
          </w:p>
          <w:p w14:paraId="4056D2CF">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11、刷新频率：≥120HZ（HSR)</w:t>
            </w:r>
          </w:p>
          <w:p w14:paraId="70D8167A">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12、操作系统版本不低于Android 9.0，CPU≥4核处理器，运行内存≥2GB，存储内存≥32GB；支持DTMB，支持DVBC清流解码</w:t>
            </w:r>
          </w:p>
          <w:p w14:paraId="399CC00A">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13、接口要求：HDMI2.0（及以上版本）接口≥2个、USB2.0（及以上版本）接口≥2个、网络接口≥1个、同轴接口≥1个、RF（DTMB）接口≥1个</w:t>
            </w:r>
          </w:p>
          <w:p w14:paraId="00CCDF67">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、支持勿扰模式，在待机状态下指示灯熄灭</w:t>
            </w:r>
          </w:p>
          <w:p w14:paraId="3C0BE71D">
            <w:pPr>
              <w:numPr>
                <w:ilvl w:val="0"/>
                <w:numId w:val="0"/>
              </w:numPr>
              <w:autoSpaceDE w:val="0"/>
              <w:autoSpaceDN w:val="0"/>
              <w:adjustRightInd w:val="0"/>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注：序号1至14均须提供国家认可的第三方检测报告复印件或产品彩页或产品说明书。</w:t>
            </w:r>
          </w:p>
          <w:p w14:paraId="6C90A249">
            <w:pPr>
              <w:autoSpaceDE w:val="0"/>
              <w:autoSpaceDN w:val="0"/>
              <w:adjustRightInd w:val="0"/>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highlight w:val="none"/>
              </w:rPr>
              <w:t>1</w:t>
            </w:r>
            <w:r>
              <w:rPr>
                <w:rFonts w:hint="eastAsia" w:asciiTheme="minorEastAsia" w:hAnsiTheme="minorEastAsia" w:eastAsiaTheme="minorEastAsia" w:cstheme="minorEastAsia"/>
                <w:b w:val="0"/>
                <w:bCs w:val="0"/>
                <w:sz w:val="21"/>
                <w:szCs w:val="21"/>
                <w:highlight w:val="none"/>
                <w:lang w:val="en-US" w:eastAsia="zh-CN"/>
              </w:rPr>
              <w:t>5</w:t>
            </w:r>
            <w:r>
              <w:rPr>
                <w:rFonts w:hint="eastAsia" w:asciiTheme="minorEastAsia" w:hAnsiTheme="minorEastAsia" w:eastAsiaTheme="minorEastAsia" w:cstheme="minorEastAsia"/>
                <w:b w:val="0"/>
                <w:bCs w:val="0"/>
                <w:sz w:val="21"/>
                <w:szCs w:val="21"/>
                <w:highlight w:val="none"/>
              </w:rPr>
              <w:t>、能效等级：≥2级</w:t>
            </w:r>
            <w:r>
              <w:rPr>
                <w:rFonts w:hint="eastAsia" w:asciiTheme="minorEastAsia" w:hAnsiTheme="minorEastAsia" w:eastAsiaTheme="minorEastAsia" w:cstheme="minorEastAsia"/>
                <w:b/>
                <w:bCs/>
                <w:sz w:val="21"/>
                <w:szCs w:val="21"/>
                <w:highlight w:val="none"/>
              </w:rPr>
              <w:t>（提供所投产品的节能产品认证证书扫描件或全国认证认可信息公共服务平(http://cx.cnca.cn)的认证信息截图）</w:t>
            </w:r>
          </w:p>
        </w:tc>
      </w:tr>
    </w:tbl>
    <w:p w14:paraId="7742847B">
      <w:pPr>
        <w:keepNext w:val="0"/>
        <w:keepLines w:val="0"/>
        <w:pageBreakBefore w:val="0"/>
        <w:kinsoku/>
        <w:wordWrap/>
        <w:overflowPunct/>
        <w:topLinePunct w:val="0"/>
        <w:autoSpaceDE/>
        <w:autoSpaceDN/>
        <w:bidi w:val="0"/>
        <w:adjustRightInd/>
        <w:spacing w:line="360" w:lineRule="auto"/>
        <w:jc w:val="left"/>
        <w:rPr>
          <w:rFonts w:asciiTheme="minorEastAsia" w:hAnsiTheme="minorEastAsia"/>
          <w:b/>
          <w:bCs/>
          <w:sz w:val="24"/>
          <w:szCs w:val="24"/>
        </w:rPr>
      </w:pPr>
      <w:r>
        <w:rPr>
          <w:rFonts w:hint="eastAsia" w:ascii="仿宋" w:hAnsi="仿宋" w:eastAsia="仿宋" w:cs="仿宋"/>
          <w:b w:val="0"/>
          <w:bCs w:val="0"/>
          <w:sz w:val="21"/>
          <w:szCs w:val="21"/>
        </w:rPr>
        <w:t>★</w:t>
      </w:r>
      <w:r>
        <w:rPr>
          <w:rFonts w:hint="eastAsia" w:asciiTheme="minorEastAsia" w:hAnsiTheme="minorEastAsia"/>
          <w:b/>
          <w:bCs/>
          <w:sz w:val="24"/>
          <w:szCs w:val="24"/>
          <w:lang w:val="en-US" w:eastAsia="zh-CN"/>
        </w:rPr>
        <w:t>三</w:t>
      </w:r>
      <w:r>
        <w:rPr>
          <w:rFonts w:hint="eastAsia" w:asciiTheme="minorEastAsia" w:hAnsiTheme="minorEastAsia"/>
          <w:b/>
          <w:bCs/>
          <w:sz w:val="24"/>
          <w:szCs w:val="24"/>
        </w:rPr>
        <w:t>、商务</w:t>
      </w:r>
      <w:r>
        <w:rPr>
          <w:rFonts w:hint="eastAsia" w:asciiTheme="minorEastAsia" w:hAnsiTheme="minorEastAsia"/>
          <w:b/>
          <w:bCs/>
          <w:sz w:val="24"/>
          <w:szCs w:val="24"/>
          <w:lang w:val="en-US" w:eastAsia="zh-CN"/>
        </w:rPr>
        <w:t>及服务</w:t>
      </w:r>
      <w:r>
        <w:rPr>
          <w:rFonts w:hint="eastAsia" w:asciiTheme="minorEastAsia" w:hAnsiTheme="minorEastAsia"/>
          <w:b/>
          <w:bCs/>
          <w:sz w:val="24"/>
          <w:szCs w:val="24"/>
        </w:rPr>
        <w:t>要求</w:t>
      </w:r>
    </w:p>
    <w:p w14:paraId="69670271">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.合同签订时间</w:t>
      </w:r>
      <w:r>
        <w:rPr>
          <w:rFonts w:hint="eastAsia" w:ascii="宋体" w:hAnsi="宋体" w:cs="宋体"/>
          <w:sz w:val="24"/>
        </w:rPr>
        <w:t>：成交公告公示结束后30日内</w:t>
      </w:r>
      <w:r>
        <w:rPr>
          <w:rFonts w:hint="eastAsia" w:ascii="宋体" w:hAnsi="宋体" w:cs="宋体"/>
          <w:sz w:val="24"/>
          <w:lang w:eastAsia="zh-CN"/>
        </w:rPr>
        <w:t>。</w:t>
      </w:r>
    </w:p>
    <w:p w14:paraId="4E73C88B">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sz w:val="24"/>
          <w:lang w:val="en-US" w:eastAsia="zh-CN"/>
        </w:rPr>
        <w:t>2.合同履行</w:t>
      </w:r>
      <w:r>
        <w:rPr>
          <w:rFonts w:hint="eastAsia" w:ascii="宋体" w:hAnsi="宋体" w:cs="宋体"/>
          <w:sz w:val="24"/>
        </w:rPr>
        <w:t>期限：合同签订后15日内送货并安装完毕</w:t>
      </w:r>
      <w:r>
        <w:rPr>
          <w:rFonts w:hint="eastAsia" w:ascii="宋体" w:hAnsi="宋体" w:cs="宋体"/>
          <w:sz w:val="24"/>
          <w:lang w:eastAsia="zh-CN"/>
        </w:rPr>
        <w:t>。</w:t>
      </w:r>
    </w:p>
    <w:p w14:paraId="323A83F0">
      <w:pPr>
        <w:keepNext w:val="0"/>
        <w:keepLines w:val="0"/>
        <w:pageBreakBefore w:val="0"/>
        <w:kinsoku/>
        <w:wordWrap/>
        <w:overflowPunct/>
        <w:topLinePunct w:val="0"/>
        <w:autoSpaceDE/>
        <w:autoSpaceDN/>
        <w:bidi w:val="0"/>
        <w:adjustRightInd/>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交货地点：</w:t>
      </w:r>
      <w:r>
        <w:rPr>
          <w:rFonts w:hint="eastAsia" w:ascii="宋体" w:hAnsi="宋体" w:cs="宋体"/>
          <w:sz w:val="24"/>
          <w:lang w:val="en-US" w:eastAsia="zh-CN"/>
        </w:rPr>
        <w:t>资阳市雁江区人民医院</w:t>
      </w:r>
      <w:r>
        <w:rPr>
          <w:rFonts w:hint="eastAsia" w:ascii="宋体" w:hAnsi="宋体" w:cs="宋体"/>
          <w:sz w:val="24"/>
        </w:rPr>
        <w:t>。</w:t>
      </w:r>
    </w:p>
    <w:p w14:paraId="434BF893">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4.付款方式：全部电视安装调试完毕并验收合格，供应商出具合法有效完整的完税发票及凭证资料，采购人于30日内支付合同总金额的95%，剩余5%于验收合格使用满一年后一次性转账支付。</w:t>
      </w:r>
    </w:p>
    <w:p w14:paraId="4A6C89DA">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验收标准：采购人按照《财政部关于进一步加强政府采购需求和履约验收管理的指导意见》（财库〔2016〕205号）要求组织履约验收。</w:t>
      </w:r>
    </w:p>
    <w:p w14:paraId="4C667639">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6.质保期：整机质保一年，主要部件（包括显示屏、背光组件、逻辑组件、高频调谐器）质保期三年。</w:t>
      </w:r>
    </w:p>
    <w:p w14:paraId="7B7DD425">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7.售后服务要求：</w:t>
      </w:r>
    </w:p>
    <w:p w14:paraId="204BC4C7">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（1）供应商应有完善的技术支持与服务体系，并能提供本地化服务。货物质量出现问题，供应商应负责三包(包修、包换、包退)，费用由供应商承担。</w:t>
      </w:r>
    </w:p>
    <w:p w14:paraId="4E86BF8A">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（2）供应商提供安装调试服务完成后，采购人在30个工作日内，如因产品质量、运行效果不好或所用部件非原厂配件等其它原因采购人有权提出退换货要求。（采购人不支付额外费用）。</w:t>
      </w:r>
    </w:p>
    <w:p w14:paraId="103ADCCC">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（3）在使用过程中设备出现故障,为保障采购人使用需求，在质保期内成交供应商必须提供60分钟内响应，2小时内上门维修服务，1天内完成维修，如不能在1天内完成，需提供备用替代设备，供采购人使用。</w:t>
      </w:r>
    </w:p>
    <w:p w14:paraId="0B0A1D2D">
      <w:pPr>
        <w:keepNext w:val="0"/>
        <w:keepLines w:val="0"/>
        <w:pageBreakBefore w:val="0"/>
        <w:kinsoku/>
        <w:wordWrap/>
        <w:overflowPunct/>
        <w:topLinePunct w:val="0"/>
        <w:autoSpaceDE/>
        <w:autoSpaceDN/>
        <w:bidi w:val="0"/>
        <w:adjustRightInd/>
        <w:spacing w:line="360" w:lineRule="auto"/>
        <w:ind w:firstLine="482" w:firstLineChars="200"/>
        <w:jc w:val="left"/>
      </w:pPr>
      <w:r>
        <w:rPr>
          <w:rFonts w:hint="eastAsia" w:asciiTheme="minorEastAsia" w:hAnsiTheme="minorEastAsia"/>
          <w:b/>
          <w:bCs/>
          <w:sz w:val="24"/>
          <w:szCs w:val="24"/>
        </w:rPr>
        <w:t>备注：本次询价采购供应商需全部满足采购需求，不允许负偏离，否则为无效响应。</w:t>
      </w:r>
    </w:p>
    <w:p w14:paraId="57A025D1">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lang w:val="zh-CN"/>
        </w:rPr>
      </w:pPr>
      <w:bookmarkStart w:id="0" w:name="_Toc56091117"/>
      <w:r>
        <w:rPr>
          <w:rFonts w:hint="eastAsia" w:cs="宋体-18030" w:asciiTheme="minorEastAsia" w:hAnsiTheme="minorEastAsia"/>
          <w:b/>
          <w:kern w:val="0"/>
          <w:sz w:val="24"/>
          <w:lang w:val="en-US" w:eastAsia="zh-CN"/>
        </w:rPr>
        <w:t>四</w:t>
      </w:r>
      <w:r>
        <w:rPr>
          <w:rFonts w:hint="eastAsia" w:cs="宋体-18030" w:asciiTheme="minorEastAsia" w:hAnsiTheme="minorEastAsia"/>
          <w:b/>
          <w:kern w:val="0"/>
          <w:sz w:val="24"/>
          <w:lang w:val="zh-CN"/>
        </w:rPr>
        <w:t>、供应商资格要求及证明材料</w:t>
      </w:r>
      <w:bookmarkEnd w:id="0"/>
    </w:p>
    <w:p w14:paraId="239BC1B5">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6A512DB7">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540DC66A">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35A0B399">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787AD1C6">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65A0CA8F">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4237EA83">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2FEACC1B">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69ECF4D4">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56717A73">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175CD362">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41AA48C7">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5CBE5C3E">
      <w:pPr>
        <w:keepNext w:val="0"/>
        <w:keepLines w:val="0"/>
        <w:pageBreakBefore w:val="0"/>
        <w:kinsoku/>
        <w:wordWrap/>
        <w:overflowPunct/>
        <w:topLinePunct w:val="0"/>
        <w:autoSpaceDE/>
        <w:autoSpaceDN/>
        <w:bidi w:val="0"/>
        <w:adjustRightInd/>
        <w:spacing w:line="360" w:lineRule="auto"/>
        <w:ind w:firstLine="470" w:firstLineChars="196"/>
        <w:rPr>
          <w:rFonts w:hint="eastAsia" w:eastAsiaTheme="minorEastAsia"/>
          <w:highlight w:val="yellow"/>
          <w:lang w:val="en-US"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cs="宋体-18030" w:asciiTheme="minorEastAsia" w:hAnsiTheme="minorEastAsia"/>
          <w:kern w:val="0"/>
          <w:sz w:val="24"/>
          <w:lang w:val="en-US" w:eastAsia="zh-CN"/>
        </w:rPr>
        <w:t>无。</w:t>
      </w:r>
    </w:p>
    <w:p w14:paraId="0BA9F782">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1D356C73">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249957EB">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3592C731">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778B67F8">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注：以上要求的资料均须加盖供应商单位的公章（鲜章）。</w:t>
      </w:r>
    </w:p>
    <w:p w14:paraId="780601A6">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bCs/>
          <w:kern w:val="0"/>
          <w:sz w:val="24"/>
          <w:lang w:val="en-US" w:eastAsia="zh-CN"/>
        </w:rPr>
        <w:t>五</w:t>
      </w:r>
      <w:r>
        <w:rPr>
          <w:rFonts w:hint="eastAsia" w:cs="宋体-18030" w:asciiTheme="minorEastAsia" w:hAnsiTheme="minorEastAsia"/>
          <w:b/>
          <w:bCs/>
          <w:kern w:val="0"/>
          <w:sz w:val="24"/>
        </w:rPr>
        <w:t>、响应文件要求</w:t>
      </w:r>
    </w:p>
    <w:p w14:paraId="00F8CA90">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1EB63454">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14:paraId="35B42A5E">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14:paraId="185DACCB">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六</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14:paraId="59951CC3">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w:t>
      </w:r>
      <w:r>
        <w:rPr>
          <w:rFonts w:hint="eastAsia" w:cs="宋体-18030" w:asciiTheme="minorEastAsia" w:hAnsiTheme="minorEastAsia"/>
          <w:kern w:val="0"/>
          <w:sz w:val="24"/>
          <w:highlight w:val="none"/>
        </w:rPr>
        <w:t>202</w:t>
      </w:r>
      <w:r>
        <w:rPr>
          <w:rFonts w:hint="eastAsia" w:cs="宋体-18030" w:asciiTheme="minorEastAsia" w:hAnsiTheme="minorEastAsia"/>
          <w:kern w:val="0"/>
          <w:sz w:val="24"/>
          <w:highlight w:val="none"/>
          <w:lang w:val="en-US" w:eastAsia="zh-CN"/>
        </w:rPr>
        <w:t>5</w:t>
      </w:r>
      <w:r>
        <w:rPr>
          <w:rFonts w:hint="eastAsia" w:cs="宋体-18030" w:asciiTheme="minorEastAsia" w:hAnsiTheme="minorEastAsia"/>
          <w:kern w:val="0"/>
          <w:sz w:val="24"/>
          <w:highlight w:val="none"/>
        </w:rPr>
        <w:t>年</w:t>
      </w:r>
      <w:r>
        <w:rPr>
          <w:rFonts w:hint="eastAsia" w:cs="宋体-18030" w:asciiTheme="minorEastAsia" w:hAnsiTheme="minorEastAsia"/>
          <w:kern w:val="0"/>
          <w:sz w:val="24"/>
          <w:highlight w:val="none"/>
          <w:lang w:val="en-US" w:eastAsia="zh-CN"/>
        </w:rPr>
        <w:t>10</w:t>
      </w:r>
      <w:r>
        <w:rPr>
          <w:rFonts w:hint="eastAsia" w:cs="宋体-18030" w:asciiTheme="minorEastAsia" w:hAnsiTheme="minorEastAsia"/>
          <w:kern w:val="0"/>
          <w:sz w:val="24"/>
          <w:highlight w:val="none"/>
        </w:rPr>
        <w:t>月</w:t>
      </w:r>
      <w:r>
        <w:rPr>
          <w:rFonts w:hint="eastAsia" w:cs="宋体-18030" w:asciiTheme="minorEastAsia" w:hAnsiTheme="minorEastAsia"/>
          <w:kern w:val="0"/>
          <w:sz w:val="24"/>
          <w:highlight w:val="none"/>
          <w:lang w:val="en-US" w:eastAsia="zh-CN"/>
        </w:rPr>
        <w:t>31</w:t>
      </w:r>
      <w:bookmarkStart w:id="1" w:name="_GoBack"/>
      <w:bookmarkEnd w:id="1"/>
      <w:r>
        <w:rPr>
          <w:rFonts w:hint="eastAsia" w:cs="宋体-18030" w:asciiTheme="minorEastAsia" w:hAnsiTheme="minorEastAsia"/>
          <w:kern w:val="0"/>
          <w:sz w:val="24"/>
          <w:highlight w:val="none"/>
        </w:rPr>
        <w:t>日17:00</w:t>
      </w:r>
      <w:r>
        <w:rPr>
          <w:rFonts w:hint="eastAsia" w:cs="宋体-18030" w:asciiTheme="minorEastAsia" w:hAnsiTheme="minorEastAsia"/>
          <w:kern w:val="0"/>
          <w:sz w:val="24"/>
        </w:rPr>
        <w:t>（北京时间）。</w:t>
      </w:r>
    </w:p>
    <w:p w14:paraId="118942CC">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2.递交响应文件地点：资阳市雁江区人民医院采购办（综合楼4楼）。</w:t>
      </w:r>
    </w:p>
    <w:p w14:paraId="3F5419C0">
      <w:pPr>
        <w:keepNext w:val="0"/>
        <w:keepLines w:val="0"/>
        <w:pageBreakBefore w:val="0"/>
        <w:kinsoku/>
        <w:wordWrap/>
        <w:overflowPunct/>
        <w:topLinePunct w:val="0"/>
        <w:autoSpaceDE/>
        <w:autoSpaceDN/>
        <w:bidi w:val="0"/>
        <w:adjustRightInd/>
        <w:spacing w:line="360" w:lineRule="auto"/>
        <w:ind w:firstLine="480" w:firstLineChars="200"/>
        <w:rPr>
          <w:rStyle w:val="17"/>
          <w:rFonts w:cs="宋体-18030" w:asciiTheme="minorEastAsia" w:hAnsiTheme="minorEastAsia"/>
          <w:b w:val="0"/>
          <w:kern w:val="0"/>
          <w:sz w:val="24"/>
        </w:rPr>
      </w:pPr>
      <w:r>
        <w:rPr>
          <w:rFonts w:hint="eastAsia" w:cs="宋体-18030" w:asciiTheme="minorEastAsia" w:hAnsiTheme="minorEastAsia"/>
          <w:kern w:val="0"/>
          <w:sz w:val="24"/>
        </w:rPr>
        <w:t>3.逾期送达或者未送达指定地点的响应文件，采购人不予受理。</w:t>
      </w:r>
    </w:p>
    <w:p w14:paraId="2144DD2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七</w:t>
      </w:r>
      <w:r>
        <w:rPr>
          <w:rFonts w:hint="eastAsia" w:cs="宋体-18030" w:asciiTheme="minorEastAsia" w:hAnsiTheme="minorEastAsia"/>
          <w:b/>
          <w:kern w:val="0"/>
          <w:sz w:val="24"/>
        </w:rPr>
        <w:t>、联系方式</w:t>
      </w:r>
    </w:p>
    <w:p w14:paraId="4CF3BA05">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27A970B2">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05E0F367">
      <w:pPr>
        <w:keepNext w:val="0"/>
        <w:keepLines w:val="0"/>
        <w:pageBreakBefore w:val="0"/>
        <w:kinsoku/>
        <w:wordWrap/>
        <w:overflowPunct/>
        <w:topLinePunct w:val="0"/>
        <w:autoSpaceDE/>
        <w:autoSpaceDN/>
        <w:bidi w:val="0"/>
        <w:adjustRightInd/>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联系</w:t>
      </w:r>
      <w:r>
        <w:rPr>
          <w:rFonts w:hint="eastAsia" w:cs="宋体-18030" w:asciiTheme="minorEastAsia" w:hAnsiTheme="minorEastAsia"/>
          <w:kern w:val="0"/>
          <w:sz w:val="24"/>
          <w:lang w:eastAsia="zh-CN"/>
        </w:rPr>
        <w:t>方式</w:t>
      </w:r>
      <w:r>
        <w:rPr>
          <w:rFonts w:hint="eastAsia" w:cs="宋体-18030" w:asciiTheme="minorEastAsia" w:hAnsiTheme="minorEastAsia"/>
          <w:kern w:val="0"/>
          <w:sz w:val="24"/>
        </w:rPr>
        <w:t>：</w:t>
      </w:r>
      <w:r>
        <w:rPr>
          <w:rFonts w:hint="eastAsia" w:cs="宋体-18030" w:asciiTheme="minorEastAsia" w:hAnsiTheme="minorEastAsia"/>
          <w:kern w:val="0"/>
          <w:sz w:val="24"/>
          <w:lang w:eastAsia="zh-CN"/>
        </w:rPr>
        <w:t>采购办</w:t>
      </w:r>
      <w:r>
        <w:rPr>
          <w:rFonts w:hint="eastAsia" w:cs="宋体-18030" w:asciiTheme="minorEastAsia" w:hAnsiTheme="minorEastAsia"/>
          <w:kern w:val="0"/>
          <w:sz w:val="24"/>
        </w:rPr>
        <w:t xml:space="preserve"> 028-26346672</w:t>
      </w:r>
    </w:p>
    <w:p w14:paraId="4FF0675E">
      <w:pPr>
        <w:keepNext w:val="0"/>
        <w:keepLines w:val="0"/>
        <w:pageBreakBefore w:val="0"/>
        <w:kinsoku/>
        <w:wordWrap/>
        <w:overflowPunct/>
        <w:topLinePunct w:val="0"/>
        <w:autoSpaceDE/>
        <w:autoSpaceDN/>
        <w:bidi w:val="0"/>
        <w:adjustRightInd/>
        <w:spacing w:line="360" w:lineRule="auto"/>
        <w:ind w:firstLine="480" w:firstLineChars="200"/>
      </w:pPr>
      <w:r>
        <w:rPr>
          <w:rFonts w:hint="eastAsia" w:cs="宋体-18030" w:asciiTheme="minorEastAsia" w:hAnsiTheme="minorEastAsia"/>
          <w:kern w:val="0"/>
          <w:sz w:val="24"/>
        </w:rPr>
        <w:t>监督部门联系方式：纪监室028-26060653</w:t>
      </w:r>
    </w:p>
    <w:p w14:paraId="184C4FE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lang w:val="zh-CN"/>
        </w:rPr>
      </w:pPr>
      <w:r>
        <w:rPr>
          <w:rFonts w:hint="eastAsia" w:cs="宋体-18030" w:asciiTheme="minorEastAsia" w:hAnsiTheme="minorEastAsia"/>
          <w:b/>
          <w:kern w:val="0"/>
          <w:sz w:val="24"/>
          <w:lang w:val="en-US" w:eastAsia="zh-CN"/>
        </w:rPr>
        <w:t>八</w:t>
      </w:r>
      <w:r>
        <w:rPr>
          <w:rFonts w:hint="eastAsia" w:cs="宋体-18030" w:asciiTheme="minorEastAsia" w:hAnsiTheme="minorEastAsia"/>
          <w:b/>
          <w:kern w:val="0"/>
          <w:sz w:val="24"/>
          <w:lang w:val="zh-CN"/>
        </w:rPr>
        <w:t>、</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2DB6CBF7">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0C7237D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558D99BD">
      <w:pPr>
        <w:keepNext w:val="0"/>
        <w:keepLines w:val="0"/>
        <w:pageBreakBefore w:val="0"/>
        <w:kinsoku/>
        <w:wordWrap/>
        <w:overflowPunct/>
        <w:topLinePunct w:val="0"/>
        <w:autoSpaceDE/>
        <w:autoSpaceDN/>
        <w:bidi w:val="0"/>
        <w:adjustRightInd/>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07A5F495">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一、商品报价</w:t>
      </w:r>
    </w:p>
    <w:tbl>
      <w:tblPr>
        <w:tblStyle w:val="14"/>
        <w:tblW w:w="5302" w:type="pct"/>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5"/>
        <w:gridCol w:w="1350"/>
        <w:gridCol w:w="1412"/>
        <w:gridCol w:w="1125"/>
        <w:gridCol w:w="1475"/>
        <w:gridCol w:w="1163"/>
      </w:tblGrid>
      <w:tr w14:paraId="765B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08" w:type="pct"/>
            <w:vAlign w:val="center"/>
          </w:tcPr>
          <w:p w14:paraId="266E378D">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序号</w:t>
            </w:r>
          </w:p>
        </w:tc>
        <w:tc>
          <w:tcPr>
            <w:tcW w:w="981" w:type="pct"/>
            <w:vAlign w:val="center"/>
          </w:tcPr>
          <w:p w14:paraId="62FDBCEF">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产品名称</w:t>
            </w:r>
          </w:p>
        </w:tc>
        <w:tc>
          <w:tcPr>
            <w:tcW w:w="746" w:type="pct"/>
            <w:vAlign w:val="center"/>
          </w:tcPr>
          <w:p w14:paraId="64430056">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rPr>
            </w:pPr>
            <w:r>
              <w:rPr>
                <w:rFonts w:hint="eastAsia" w:cs="宋体-18030" w:asciiTheme="minorEastAsia" w:hAnsiTheme="minorEastAsia"/>
                <w:kern w:val="0"/>
                <w:sz w:val="24"/>
                <w:lang w:val="zh-CN"/>
              </w:rPr>
              <w:t>品牌、规格型号</w:t>
            </w:r>
          </w:p>
        </w:tc>
        <w:tc>
          <w:tcPr>
            <w:tcW w:w="781" w:type="pct"/>
            <w:vAlign w:val="center"/>
          </w:tcPr>
          <w:p w14:paraId="56117C1F">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kern w:val="0"/>
                <w:sz w:val="24"/>
                <w:lang w:val="en-US" w:eastAsia="zh-CN"/>
              </w:rPr>
            </w:pPr>
            <w:r>
              <w:rPr>
                <w:rFonts w:hint="eastAsia" w:cs="宋体-18030" w:asciiTheme="minorEastAsia" w:hAnsiTheme="minorEastAsia"/>
                <w:kern w:val="0"/>
                <w:sz w:val="24"/>
                <w:lang w:val="en-US" w:eastAsia="zh-CN"/>
              </w:rPr>
              <w:t>数量</w:t>
            </w:r>
          </w:p>
          <w:p w14:paraId="3724D100">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zh-CN" w:eastAsia="zh-CN"/>
              </w:rPr>
            </w:pPr>
            <w:r>
              <w:rPr>
                <w:rFonts w:hint="eastAsia" w:cs="宋体-18030" w:asciiTheme="minorEastAsia" w:hAnsiTheme="minorEastAsia"/>
                <w:kern w:val="0"/>
                <w:sz w:val="24"/>
                <w:lang w:val="en-US" w:eastAsia="zh-CN"/>
              </w:rPr>
              <w:t>（单位）</w:t>
            </w:r>
          </w:p>
        </w:tc>
        <w:tc>
          <w:tcPr>
            <w:tcW w:w="622" w:type="pct"/>
            <w:vAlign w:val="center"/>
          </w:tcPr>
          <w:p w14:paraId="22E6C0A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单价（</w:t>
            </w:r>
            <w:r>
              <w:rPr>
                <w:rFonts w:hint="eastAsia" w:cs="宋体-18030" w:asciiTheme="minorEastAsia" w:hAnsiTheme="minorEastAsia"/>
                <w:kern w:val="0"/>
                <w:sz w:val="24"/>
                <w:lang w:val="en-US" w:eastAsia="zh-CN"/>
              </w:rPr>
              <w:t>元</w:t>
            </w:r>
            <w:r>
              <w:rPr>
                <w:rFonts w:hint="eastAsia" w:cs="宋体-18030" w:asciiTheme="minorEastAsia" w:hAnsiTheme="minorEastAsia"/>
                <w:kern w:val="0"/>
                <w:sz w:val="24"/>
                <w:lang w:val="zh-CN"/>
              </w:rPr>
              <w:t>）</w:t>
            </w:r>
          </w:p>
        </w:tc>
        <w:tc>
          <w:tcPr>
            <w:tcW w:w="815" w:type="pct"/>
            <w:vAlign w:val="center"/>
          </w:tcPr>
          <w:p w14:paraId="2D88FD3B">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kern w:val="0"/>
                <w:sz w:val="24"/>
                <w:lang w:val="en-US" w:eastAsia="zh-CN"/>
              </w:rPr>
            </w:pPr>
            <w:r>
              <w:rPr>
                <w:rFonts w:hint="eastAsia" w:cs="宋体-18030" w:asciiTheme="minorEastAsia" w:hAnsiTheme="minorEastAsia"/>
                <w:kern w:val="0"/>
                <w:sz w:val="24"/>
                <w:lang w:val="en-US" w:eastAsia="zh-CN"/>
              </w:rPr>
              <w:t>合计</w:t>
            </w:r>
          </w:p>
          <w:p w14:paraId="20CB28AA">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zh-CN" w:eastAsia="zh-CN"/>
              </w:rPr>
            </w:pPr>
            <w:r>
              <w:rPr>
                <w:rFonts w:hint="eastAsia" w:cs="宋体-18030" w:asciiTheme="minorEastAsia" w:hAnsiTheme="minorEastAsia"/>
                <w:kern w:val="0"/>
                <w:sz w:val="24"/>
                <w:lang w:val="en-US" w:eastAsia="zh-CN"/>
              </w:rPr>
              <w:t>（元）</w:t>
            </w:r>
          </w:p>
        </w:tc>
        <w:tc>
          <w:tcPr>
            <w:tcW w:w="643" w:type="pct"/>
            <w:vAlign w:val="center"/>
          </w:tcPr>
          <w:p w14:paraId="39592811">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备注</w:t>
            </w:r>
          </w:p>
        </w:tc>
      </w:tr>
      <w:tr w14:paraId="0B57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08" w:type="pct"/>
            <w:vAlign w:val="center"/>
          </w:tcPr>
          <w:p w14:paraId="429EC193">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981" w:type="pct"/>
            <w:vAlign w:val="center"/>
          </w:tcPr>
          <w:p w14:paraId="131CED9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46" w:type="pct"/>
            <w:vAlign w:val="center"/>
          </w:tcPr>
          <w:p w14:paraId="1B757188">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81" w:type="pct"/>
            <w:vAlign w:val="center"/>
          </w:tcPr>
          <w:p w14:paraId="1F2F000A">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22" w:type="pct"/>
            <w:vAlign w:val="center"/>
          </w:tcPr>
          <w:p w14:paraId="4FDDF687">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815" w:type="pct"/>
            <w:vAlign w:val="center"/>
          </w:tcPr>
          <w:p w14:paraId="318DDCE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43" w:type="pct"/>
            <w:vAlign w:val="center"/>
          </w:tcPr>
          <w:p w14:paraId="75B567AF">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r>
      <w:tr w14:paraId="14AB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08" w:type="pct"/>
            <w:vAlign w:val="center"/>
          </w:tcPr>
          <w:p w14:paraId="6C6B0072">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981" w:type="pct"/>
            <w:vAlign w:val="center"/>
          </w:tcPr>
          <w:p w14:paraId="4DC40DE0">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46" w:type="pct"/>
            <w:vAlign w:val="center"/>
          </w:tcPr>
          <w:p w14:paraId="0BC8107F">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81" w:type="pct"/>
            <w:vAlign w:val="center"/>
          </w:tcPr>
          <w:p w14:paraId="7B23B11C">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22" w:type="pct"/>
            <w:vAlign w:val="center"/>
          </w:tcPr>
          <w:p w14:paraId="1CAA7860">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815" w:type="pct"/>
            <w:vAlign w:val="center"/>
          </w:tcPr>
          <w:p w14:paraId="6DE6DA7C">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43" w:type="pct"/>
            <w:vAlign w:val="center"/>
          </w:tcPr>
          <w:p w14:paraId="5C5990D5">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r>
      <w:tr w14:paraId="2EAD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00" w:type="pct"/>
            <w:gridSpan w:val="7"/>
            <w:vAlign w:val="center"/>
          </w:tcPr>
          <w:p w14:paraId="6E22BDAB">
            <w:pPr>
              <w:keepNext w:val="0"/>
              <w:keepLines w:val="0"/>
              <w:pageBreakBefore w:val="0"/>
              <w:kinsoku/>
              <w:wordWrap/>
              <w:overflowPunct/>
              <w:topLinePunct w:val="0"/>
              <w:autoSpaceDE/>
              <w:autoSpaceDN/>
              <w:bidi w:val="0"/>
              <w:adjustRightInd/>
              <w:spacing w:line="360" w:lineRule="auto"/>
              <w:jc w:val="left"/>
              <w:rPr>
                <w:rFonts w:hint="eastAsia" w:cs="宋体-18030" w:asciiTheme="minorEastAsia" w:hAnsiTheme="minorEastAsia"/>
                <w:kern w:val="0"/>
                <w:sz w:val="24"/>
              </w:rPr>
            </w:pPr>
            <w:r>
              <w:rPr>
                <w:rFonts w:hint="eastAsia" w:cs="宋体-18030" w:asciiTheme="minorEastAsia" w:hAnsiTheme="minorEastAsia"/>
                <w:kern w:val="0"/>
                <w:sz w:val="24"/>
              </w:rPr>
              <w:t>合计</w:t>
            </w:r>
            <w:r>
              <w:rPr>
                <w:rFonts w:hint="eastAsia" w:cs="宋体-18030" w:asciiTheme="minorEastAsia" w:hAnsiTheme="minorEastAsia"/>
                <w:kern w:val="0"/>
                <w:sz w:val="24"/>
                <w:lang w:eastAsia="zh-CN"/>
              </w:rPr>
              <w:t>：</w:t>
            </w:r>
            <w:r>
              <w:rPr>
                <w:rFonts w:hint="eastAsia" w:cs="宋体-18030" w:asciiTheme="minorEastAsia" w:hAnsiTheme="minorEastAsia"/>
                <w:kern w:val="0"/>
                <w:sz w:val="24"/>
                <w:lang w:val="en-US" w:eastAsia="zh-CN"/>
              </w:rPr>
              <w:t xml:space="preserve">                 （大写金额：                      ）</w:t>
            </w:r>
          </w:p>
        </w:tc>
      </w:tr>
    </w:tbl>
    <w:p w14:paraId="2F886C1E">
      <w:pPr>
        <w:keepNext w:val="0"/>
        <w:keepLines w:val="0"/>
        <w:pageBreakBefore w:val="0"/>
        <w:kinsoku/>
        <w:wordWrap/>
        <w:overflowPunct/>
        <w:topLinePunct w:val="0"/>
        <w:autoSpaceDE/>
        <w:autoSpaceDN/>
        <w:bidi w:val="0"/>
        <w:adjustRightInd/>
        <w:spacing w:line="360" w:lineRule="auto"/>
        <w:jc w:val="left"/>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注：供应商的报价是其响应本项目要求的全部工作内容的价格体现或者结算标准，包括供应商完成本项目所需的一切费用。</w:t>
      </w:r>
    </w:p>
    <w:p w14:paraId="767C3338">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二、是否全部响应本次采购需求：是□  否□</w:t>
      </w:r>
    </w:p>
    <w:p w14:paraId="0A5FB51B">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0BA8D503">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7EB79397">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18A3A49F">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676247DA">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p>
    <w:p w14:paraId="1C6E2FDA">
      <w:pPr>
        <w:keepNext w:val="0"/>
        <w:keepLines w:val="0"/>
        <w:pageBreakBefore w:val="0"/>
        <w:kinsoku/>
        <w:wordWrap/>
        <w:overflowPunct/>
        <w:topLinePunct w:val="0"/>
        <w:autoSpaceDE/>
        <w:autoSpaceDN/>
        <w:bidi w:val="0"/>
        <w:adjustRightInd/>
        <w:spacing w:line="360" w:lineRule="auto"/>
        <w:ind w:firstLine="3120" w:firstLineChars="1300"/>
        <w:rPr>
          <w:rFonts w:cs="宋体-18030" w:asciiTheme="minorEastAsia" w:hAnsiTheme="minorEastAsia"/>
          <w:kern w:val="0"/>
          <w:sz w:val="24"/>
          <w:lang w:val="zh-CN"/>
        </w:rPr>
      </w:pPr>
      <w:r>
        <w:rPr>
          <w:rFonts w:hint="eastAsia" w:cs="宋体-18030" w:asciiTheme="minorEastAsia" w:hAnsiTheme="minorEastAsia"/>
          <w:kern w:val="0"/>
          <w:sz w:val="24"/>
          <w:lang w:val="zh-CN"/>
        </w:rPr>
        <w:t>投标人名称（盖章）：</w:t>
      </w:r>
    </w:p>
    <w:p w14:paraId="6C217DFE">
      <w:pPr>
        <w:keepNext w:val="0"/>
        <w:keepLines w:val="0"/>
        <w:pageBreakBefore w:val="0"/>
        <w:kinsoku/>
        <w:wordWrap/>
        <w:overflowPunct/>
        <w:topLinePunct w:val="0"/>
        <w:autoSpaceDE/>
        <w:autoSpaceDN/>
        <w:bidi w:val="0"/>
        <w:adjustRightInd/>
        <w:spacing w:line="360" w:lineRule="auto"/>
        <w:ind w:firstLine="3120" w:firstLineChars="1300"/>
        <w:rPr>
          <w:rFonts w:cs="宋体-18030" w:asciiTheme="minorEastAsia" w:hAnsiTheme="minorEastAsia"/>
          <w:kern w:val="0"/>
          <w:sz w:val="24"/>
          <w:lang w:val="zh-CN"/>
        </w:rPr>
      </w:pPr>
      <w:r>
        <w:rPr>
          <w:rFonts w:hint="eastAsia" w:cs="宋体-18030" w:asciiTheme="minorEastAsia" w:hAnsiTheme="minorEastAsia"/>
          <w:kern w:val="0"/>
          <w:sz w:val="24"/>
          <w:lang w:val="zh-CN"/>
        </w:rPr>
        <w:t>法定代表人或授权代表：</w:t>
      </w:r>
    </w:p>
    <w:p w14:paraId="16DA0FE9">
      <w:pPr>
        <w:keepNext w:val="0"/>
        <w:keepLines w:val="0"/>
        <w:pageBreakBefore w:val="0"/>
        <w:kinsoku/>
        <w:wordWrap/>
        <w:overflowPunct/>
        <w:topLinePunct w:val="0"/>
        <w:autoSpaceDE/>
        <w:autoSpaceDN/>
        <w:bidi w:val="0"/>
        <w:adjustRightInd/>
        <w:spacing w:line="360" w:lineRule="auto"/>
        <w:ind w:firstLine="5160" w:firstLineChars="2150"/>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年     月     日   </w:t>
      </w:r>
    </w:p>
    <w:p w14:paraId="337BC724">
      <w:pPr>
        <w:rPr>
          <w:b/>
          <w:sz w:val="28"/>
        </w:rPr>
      </w:pPr>
    </w:p>
    <w:p w14:paraId="7C5AB46B">
      <w:pPr>
        <w:rPr>
          <w:b/>
          <w:sz w:val="28"/>
        </w:rPr>
      </w:pPr>
    </w:p>
    <w:p w14:paraId="7F8B2CD6">
      <w:pPr>
        <w:rPr>
          <w:b/>
          <w:sz w:val="28"/>
        </w:rPr>
      </w:pPr>
    </w:p>
    <w:p w14:paraId="683C2EBF">
      <w:pPr>
        <w:pStyle w:val="1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à.ā">
    <w:altName w:val="宋体"/>
    <w:panose1 w:val="00000000000000000000"/>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ZTNmMTA1M2M4YTZjMTRkOTNkZmMxYWY5YjVlYWQ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706C3"/>
    <w:rsid w:val="001778E9"/>
    <w:rsid w:val="00193141"/>
    <w:rsid w:val="001A1E75"/>
    <w:rsid w:val="001B76C1"/>
    <w:rsid w:val="00203C20"/>
    <w:rsid w:val="002453E4"/>
    <w:rsid w:val="0024691B"/>
    <w:rsid w:val="002479CE"/>
    <w:rsid w:val="00270759"/>
    <w:rsid w:val="00276BFB"/>
    <w:rsid w:val="002A7C37"/>
    <w:rsid w:val="002D0B88"/>
    <w:rsid w:val="002E77F4"/>
    <w:rsid w:val="002F2C9B"/>
    <w:rsid w:val="003001EC"/>
    <w:rsid w:val="00320DF3"/>
    <w:rsid w:val="00326B09"/>
    <w:rsid w:val="00333821"/>
    <w:rsid w:val="00335009"/>
    <w:rsid w:val="00354E2B"/>
    <w:rsid w:val="003A0DE7"/>
    <w:rsid w:val="003C0A6A"/>
    <w:rsid w:val="003C5C58"/>
    <w:rsid w:val="003E0699"/>
    <w:rsid w:val="003F3378"/>
    <w:rsid w:val="004043D0"/>
    <w:rsid w:val="00413FB2"/>
    <w:rsid w:val="00450892"/>
    <w:rsid w:val="00454348"/>
    <w:rsid w:val="00477D37"/>
    <w:rsid w:val="004C6EA1"/>
    <w:rsid w:val="004D3404"/>
    <w:rsid w:val="004D3CBF"/>
    <w:rsid w:val="004E5AB7"/>
    <w:rsid w:val="004E72F3"/>
    <w:rsid w:val="004F55C8"/>
    <w:rsid w:val="00523AC3"/>
    <w:rsid w:val="00540B9C"/>
    <w:rsid w:val="005579F0"/>
    <w:rsid w:val="00581E5A"/>
    <w:rsid w:val="00587C1B"/>
    <w:rsid w:val="00597441"/>
    <w:rsid w:val="005A0E35"/>
    <w:rsid w:val="005C0070"/>
    <w:rsid w:val="005F623F"/>
    <w:rsid w:val="0063008C"/>
    <w:rsid w:val="0065022F"/>
    <w:rsid w:val="00660B9E"/>
    <w:rsid w:val="00671FC7"/>
    <w:rsid w:val="006855D4"/>
    <w:rsid w:val="006E4BF3"/>
    <w:rsid w:val="006E79FF"/>
    <w:rsid w:val="007218F5"/>
    <w:rsid w:val="00746C12"/>
    <w:rsid w:val="00754CE4"/>
    <w:rsid w:val="00762E5A"/>
    <w:rsid w:val="00764687"/>
    <w:rsid w:val="00766168"/>
    <w:rsid w:val="00786B13"/>
    <w:rsid w:val="00792DA0"/>
    <w:rsid w:val="00793451"/>
    <w:rsid w:val="007A5490"/>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911A6"/>
    <w:rsid w:val="00AA26C2"/>
    <w:rsid w:val="00AA3A71"/>
    <w:rsid w:val="00AA749B"/>
    <w:rsid w:val="00AC7A9C"/>
    <w:rsid w:val="00AD219D"/>
    <w:rsid w:val="00AE30A4"/>
    <w:rsid w:val="00B21C8B"/>
    <w:rsid w:val="00B30E70"/>
    <w:rsid w:val="00B5503A"/>
    <w:rsid w:val="00B751A5"/>
    <w:rsid w:val="00B75882"/>
    <w:rsid w:val="00B9636C"/>
    <w:rsid w:val="00BA7C53"/>
    <w:rsid w:val="00BF710E"/>
    <w:rsid w:val="00C07018"/>
    <w:rsid w:val="00C10F2B"/>
    <w:rsid w:val="00C177ED"/>
    <w:rsid w:val="00D16144"/>
    <w:rsid w:val="00D76CDB"/>
    <w:rsid w:val="00D806B6"/>
    <w:rsid w:val="00DE2984"/>
    <w:rsid w:val="00DE6580"/>
    <w:rsid w:val="00E311D1"/>
    <w:rsid w:val="00E35D8F"/>
    <w:rsid w:val="00E62591"/>
    <w:rsid w:val="00E7392B"/>
    <w:rsid w:val="00E812E1"/>
    <w:rsid w:val="00EB1303"/>
    <w:rsid w:val="00EC280D"/>
    <w:rsid w:val="00EC5235"/>
    <w:rsid w:val="00ED0A0E"/>
    <w:rsid w:val="00EE610F"/>
    <w:rsid w:val="00F12F5B"/>
    <w:rsid w:val="00F6003A"/>
    <w:rsid w:val="00F815D3"/>
    <w:rsid w:val="00FE3273"/>
    <w:rsid w:val="00FE4DD7"/>
    <w:rsid w:val="00FE7851"/>
    <w:rsid w:val="00FF34C4"/>
    <w:rsid w:val="00FF3BEE"/>
    <w:rsid w:val="00FF4698"/>
    <w:rsid w:val="050968D3"/>
    <w:rsid w:val="05141470"/>
    <w:rsid w:val="063620C9"/>
    <w:rsid w:val="0A2B0C77"/>
    <w:rsid w:val="0B7625FD"/>
    <w:rsid w:val="14876F4E"/>
    <w:rsid w:val="14F52C04"/>
    <w:rsid w:val="151B3CF1"/>
    <w:rsid w:val="156C442B"/>
    <w:rsid w:val="164A3328"/>
    <w:rsid w:val="18934843"/>
    <w:rsid w:val="1988347E"/>
    <w:rsid w:val="1B541E5E"/>
    <w:rsid w:val="1CE86C7E"/>
    <w:rsid w:val="1E7A4D5D"/>
    <w:rsid w:val="1F281065"/>
    <w:rsid w:val="273572B6"/>
    <w:rsid w:val="2A3D587C"/>
    <w:rsid w:val="342C36FD"/>
    <w:rsid w:val="361D455A"/>
    <w:rsid w:val="36590D33"/>
    <w:rsid w:val="368A55C6"/>
    <w:rsid w:val="36F0514B"/>
    <w:rsid w:val="37D64143"/>
    <w:rsid w:val="399A11B7"/>
    <w:rsid w:val="3A79707D"/>
    <w:rsid w:val="3C9E34DC"/>
    <w:rsid w:val="3EC61CE0"/>
    <w:rsid w:val="3FF0557C"/>
    <w:rsid w:val="4244401A"/>
    <w:rsid w:val="440609D0"/>
    <w:rsid w:val="49263B08"/>
    <w:rsid w:val="4B6B0F4E"/>
    <w:rsid w:val="4BDC7B86"/>
    <w:rsid w:val="4E023FB5"/>
    <w:rsid w:val="505676E2"/>
    <w:rsid w:val="50863A39"/>
    <w:rsid w:val="51985816"/>
    <w:rsid w:val="523A66F5"/>
    <w:rsid w:val="555B6681"/>
    <w:rsid w:val="58726337"/>
    <w:rsid w:val="58CA6D6C"/>
    <w:rsid w:val="590F06B1"/>
    <w:rsid w:val="5B5E63DA"/>
    <w:rsid w:val="5C1D19D4"/>
    <w:rsid w:val="626D31C0"/>
    <w:rsid w:val="62705B39"/>
    <w:rsid w:val="6639773D"/>
    <w:rsid w:val="66F0488D"/>
    <w:rsid w:val="67F91D45"/>
    <w:rsid w:val="6AA1342E"/>
    <w:rsid w:val="6AF91C7B"/>
    <w:rsid w:val="6BC74FC2"/>
    <w:rsid w:val="6C517895"/>
    <w:rsid w:val="6FB6011E"/>
    <w:rsid w:val="6FE06880"/>
    <w:rsid w:val="700B0865"/>
    <w:rsid w:val="70115646"/>
    <w:rsid w:val="733D427B"/>
    <w:rsid w:val="74716849"/>
    <w:rsid w:val="74CB3468"/>
    <w:rsid w:val="762A4350"/>
    <w:rsid w:val="79E14D78"/>
    <w:rsid w:val="7BB67E73"/>
    <w:rsid w:val="7D1B02C7"/>
    <w:rsid w:val="7D1F0A1C"/>
    <w:rsid w:val="7D704423"/>
    <w:rsid w:val="7DB4519F"/>
    <w:rsid w:val="7DD92B66"/>
    <w:rsid w:val="7E5037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3"/>
    <w:autoRedefine/>
    <w:qFormat/>
    <w:uiPriority w:val="0"/>
    <w:pPr>
      <w:ind w:firstLine="420" w:firstLineChars="200"/>
    </w:pPr>
    <w:rPr>
      <w:rFonts w:ascii="Times New Roman" w:hAnsi="Times New Roman" w:eastAsia="宋体" w:cs="Times New Roman"/>
      <w:szCs w:val="24"/>
    </w:rPr>
  </w:style>
  <w:style w:type="paragraph" w:styleId="3">
    <w:name w:val="annotation text"/>
    <w:basedOn w:val="1"/>
    <w:link w:val="28"/>
    <w:autoRedefine/>
    <w:semiHidden/>
    <w:unhideWhenUsed/>
    <w:qFormat/>
    <w:uiPriority w:val="99"/>
    <w:pPr>
      <w:jc w:val="left"/>
    </w:pPr>
  </w:style>
  <w:style w:type="paragraph" w:styleId="4">
    <w:name w:val="Body Text"/>
    <w:basedOn w:val="1"/>
    <w:next w:val="5"/>
    <w:link w:val="26"/>
    <w:autoRedefine/>
    <w:qFormat/>
    <w:uiPriority w:val="99"/>
    <w:pPr>
      <w:spacing w:after="120"/>
    </w:pPr>
    <w:rPr>
      <w:szCs w:val="24"/>
    </w:rPr>
  </w:style>
  <w:style w:type="paragraph" w:customStyle="1" w:styleId="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w:basedOn w:val="1"/>
    <w:autoRedefine/>
    <w:qFormat/>
    <w:uiPriority w:val="0"/>
    <w:pPr>
      <w:spacing w:line="480" w:lineRule="auto"/>
      <w:ind w:firstLine="600"/>
    </w:pPr>
    <w:rPr>
      <w:sz w:val="28"/>
    </w:rPr>
  </w:style>
  <w:style w:type="paragraph" w:styleId="7">
    <w:name w:val="Plain Text"/>
    <w:basedOn w:val="1"/>
    <w:autoRedefine/>
    <w:qFormat/>
    <w:uiPriority w:val="0"/>
    <w:pPr>
      <w:spacing w:line="360" w:lineRule="auto"/>
    </w:pPr>
    <w:rPr>
      <w:rFonts w:ascii="宋体" w:hAnsi="Courier New"/>
      <w:sz w:val="24"/>
    </w:rPr>
  </w:style>
  <w:style w:type="paragraph" w:styleId="8">
    <w:name w:val="Balloon Text"/>
    <w:basedOn w:val="1"/>
    <w:link w:val="22"/>
    <w:autoRedefine/>
    <w:semiHidden/>
    <w:unhideWhenUsed/>
    <w:qFormat/>
    <w:uiPriority w:val="99"/>
    <w:rPr>
      <w:sz w:val="18"/>
      <w:szCs w:val="18"/>
    </w:rPr>
  </w:style>
  <w:style w:type="paragraph" w:styleId="9">
    <w:name w:val="footer"/>
    <w:basedOn w:val="1"/>
    <w:link w:val="33"/>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3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29"/>
    <w:autoRedefine/>
    <w:semiHidden/>
    <w:unhideWhenUsed/>
    <w:qFormat/>
    <w:uiPriority w:val="99"/>
    <w:rPr>
      <w:b/>
      <w:bCs/>
    </w:rPr>
  </w:style>
  <w:style w:type="paragraph" w:styleId="12">
    <w:name w:val="Body Text First Indent"/>
    <w:basedOn w:val="4"/>
    <w:next w:val="13"/>
    <w:link w:val="30"/>
    <w:autoRedefine/>
    <w:unhideWhenUsed/>
    <w:qFormat/>
    <w:uiPriority w:val="99"/>
    <w:pPr>
      <w:ind w:firstLine="420" w:firstLineChars="100"/>
    </w:pPr>
  </w:style>
  <w:style w:type="paragraph" w:styleId="13">
    <w:name w:val="Body Text First Indent 2"/>
    <w:basedOn w:val="6"/>
    <w:autoRedefine/>
    <w:qFormat/>
    <w:uiPriority w:val="0"/>
    <w:pPr>
      <w:widowControl/>
      <w:ind w:left="420" w:leftChars="200" w:firstLine="420" w:firstLineChars="200"/>
    </w:pPr>
    <w:rPr>
      <w:rFonts w:ascii="仿宋_GB2312" w:eastAsia="仿宋_GB2312"/>
      <w:color w:val="FF6600"/>
      <w:sz w:val="21"/>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rPr>
  </w:style>
  <w:style w:type="character" w:styleId="18">
    <w:name w:val="annotation reference"/>
    <w:basedOn w:val="16"/>
    <w:autoRedefine/>
    <w:semiHidden/>
    <w:unhideWhenUsed/>
    <w:qFormat/>
    <w:uiPriority w:val="99"/>
    <w:rPr>
      <w:sz w:val="21"/>
      <w:szCs w:val="21"/>
    </w:rPr>
  </w:style>
  <w:style w:type="paragraph" w:customStyle="1" w:styleId="19">
    <w:name w:val="BodyText"/>
    <w:basedOn w:val="1"/>
    <w:next w:val="20"/>
    <w:autoRedefine/>
    <w:qFormat/>
    <w:uiPriority w:val="0"/>
    <w:pPr>
      <w:textAlignment w:val="baseline"/>
    </w:pPr>
    <w:rPr>
      <w:sz w:val="24"/>
      <w:szCs w:val="24"/>
    </w:rPr>
  </w:style>
  <w:style w:type="paragraph" w:customStyle="1" w:styleId="20">
    <w:name w:val="UserStyle_2"/>
    <w:next w:val="1"/>
    <w:autoRedefine/>
    <w:qFormat/>
    <w:uiPriority w:val="0"/>
    <w:pPr>
      <w:textAlignment w:val="baseline"/>
    </w:pPr>
    <w:rPr>
      <w:rFonts w:ascii="楷体à.ā" w:hAnsi="Calibri" w:eastAsia="楷体à.ā" w:cs="Times New Roman"/>
      <w:color w:val="000000"/>
      <w:sz w:val="24"/>
      <w:lang w:val="en-US" w:eastAsia="zh-CN" w:bidi="ar-SA"/>
    </w:rPr>
  </w:style>
  <w:style w:type="paragraph" w:styleId="21">
    <w:name w:val="List Paragraph"/>
    <w:basedOn w:val="1"/>
    <w:link w:val="24"/>
    <w:autoRedefine/>
    <w:qFormat/>
    <w:uiPriority w:val="0"/>
    <w:pPr>
      <w:ind w:firstLine="420" w:firstLineChars="200"/>
    </w:pPr>
  </w:style>
  <w:style w:type="character" w:customStyle="1" w:styleId="22">
    <w:name w:val="批注框文本 Char"/>
    <w:basedOn w:val="16"/>
    <w:link w:val="8"/>
    <w:autoRedefine/>
    <w:semiHidden/>
    <w:qFormat/>
    <w:uiPriority w:val="99"/>
    <w:rPr>
      <w:sz w:val="18"/>
      <w:szCs w:val="18"/>
    </w:rPr>
  </w:style>
  <w:style w:type="character" w:customStyle="1" w:styleId="23">
    <w:name w:val="正文缩进 Char"/>
    <w:link w:val="2"/>
    <w:autoRedefine/>
    <w:qFormat/>
    <w:uiPriority w:val="0"/>
    <w:rPr>
      <w:rFonts w:ascii="Times New Roman" w:hAnsi="Times New Roman" w:eastAsia="宋体" w:cs="Times New Roman"/>
      <w:szCs w:val="24"/>
    </w:rPr>
  </w:style>
  <w:style w:type="character" w:customStyle="1" w:styleId="24">
    <w:name w:val="列出段落 Char"/>
    <w:link w:val="21"/>
    <w:autoRedefine/>
    <w:qFormat/>
    <w:uiPriority w:val="0"/>
  </w:style>
  <w:style w:type="paragraph" w:customStyle="1" w:styleId="25">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6">
    <w:name w:val="正文文本 Char"/>
    <w:link w:val="4"/>
    <w:autoRedefine/>
    <w:qFormat/>
    <w:locked/>
    <w:uiPriority w:val="99"/>
    <w:rPr>
      <w:szCs w:val="24"/>
    </w:rPr>
  </w:style>
  <w:style w:type="character" w:customStyle="1" w:styleId="27">
    <w:name w:val="正文文本 Char1"/>
    <w:basedOn w:val="16"/>
    <w:autoRedefine/>
    <w:semiHidden/>
    <w:qFormat/>
    <w:uiPriority w:val="99"/>
  </w:style>
  <w:style w:type="character" w:customStyle="1" w:styleId="28">
    <w:name w:val="批注文字 Char"/>
    <w:basedOn w:val="16"/>
    <w:link w:val="3"/>
    <w:autoRedefine/>
    <w:semiHidden/>
    <w:qFormat/>
    <w:uiPriority w:val="99"/>
  </w:style>
  <w:style w:type="character" w:customStyle="1" w:styleId="29">
    <w:name w:val="批注主题 Char"/>
    <w:basedOn w:val="28"/>
    <w:link w:val="11"/>
    <w:autoRedefine/>
    <w:semiHidden/>
    <w:qFormat/>
    <w:uiPriority w:val="99"/>
    <w:rPr>
      <w:b/>
      <w:bCs/>
    </w:rPr>
  </w:style>
  <w:style w:type="character" w:customStyle="1" w:styleId="30">
    <w:name w:val="正文首行缩进 Char"/>
    <w:link w:val="12"/>
    <w:autoRedefine/>
    <w:qFormat/>
    <w:uiPriority w:val="0"/>
    <w:rPr>
      <w:rFonts w:hint="default" w:ascii="Calibri" w:hAnsi="Calibri" w:eastAsia="宋体" w:cs="Times New Roman"/>
      <w:kern w:val="2"/>
      <w:sz w:val="21"/>
      <w:szCs w:val="22"/>
    </w:rPr>
  </w:style>
  <w:style w:type="paragraph" w:customStyle="1" w:styleId="31">
    <w:name w:val="Table Paragraph"/>
    <w:basedOn w:val="1"/>
    <w:autoRedefine/>
    <w:qFormat/>
    <w:uiPriority w:val="99"/>
    <w:rPr>
      <w:rFonts w:ascii="宋体" w:hAnsi="宋体" w:cs="宋体"/>
      <w:lang w:val="zh-CN"/>
    </w:rPr>
  </w:style>
  <w:style w:type="character" w:customStyle="1" w:styleId="32">
    <w:name w:val="页眉 Char"/>
    <w:basedOn w:val="16"/>
    <w:link w:val="10"/>
    <w:autoRedefine/>
    <w:semiHidden/>
    <w:qFormat/>
    <w:uiPriority w:val="99"/>
    <w:rPr>
      <w:rFonts w:asciiTheme="minorHAnsi" w:hAnsiTheme="minorHAnsi" w:eastAsiaTheme="minorEastAsia" w:cstheme="minorBidi"/>
      <w:kern w:val="2"/>
      <w:sz w:val="18"/>
      <w:szCs w:val="18"/>
    </w:rPr>
  </w:style>
  <w:style w:type="character" w:customStyle="1" w:styleId="33">
    <w:name w:val="页脚 Char"/>
    <w:basedOn w:val="16"/>
    <w:link w:val="9"/>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2336</Words>
  <Characters>2645</Characters>
  <Lines>21</Lines>
  <Paragraphs>6</Paragraphs>
  <TotalTime>23</TotalTime>
  <ScaleCrop>false</ScaleCrop>
  <LinksUpToDate>false</LinksUpToDate>
  <CharactersWithSpaces>2706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2025-10-28T07:20:31Z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DCE04A85E3104572AC03F84EA7FA4E52_13</vt:lpwstr>
  </property>
  <property fmtid="{D5CDD505-2E9C-101B-9397-08002B2CF9AE}" pid="4" name="KSOTemplateDocerSaveRecord">
    <vt:lpwstr>eyJoZGlkIjoiNjdkODI3ZTUwMzcwMGY4YjM5NTQ2MmViY2U4OWU4YzIiLCJ1c2VySWQiOiIzNzgwMzE5NDAifQ==</vt:lpwstr>
  </property>
</Properties>
</file>