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12680">
      <w:pPr>
        <w:widowControl/>
        <w:jc w:val="center"/>
        <w:textAlignment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 w14:paraId="539617F3">
      <w:pPr>
        <w:widowControl/>
        <w:jc w:val="center"/>
        <w:textAlignment w:val="center"/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弱电井门禁系统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询价采购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需求</w:t>
      </w:r>
    </w:p>
    <w:p w14:paraId="0F30CA36">
      <w:pPr>
        <w:pStyle w:val="6"/>
        <w:rPr>
          <w:rFonts w:hint="eastAsia"/>
          <w:lang w:val="en-US" w:eastAsia="zh-CN"/>
        </w:rPr>
      </w:pPr>
    </w:p>
    <w:p w14:paraId="47CE3D5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采购清单明细表及技术参数要求</w:t>
      </w:r>
      <w:r>
        <w:rPr>
          <w:rFonts w:hint="eastAsia" w:asciiTheme="minorEastAsia" w:hAnsiTheme="minorEastAsia" w:cstheme="minorEastAsia"/>
          <w:b/>
          <w:kern w:val="0"/>
          <w:sz w:val="24"/>
          <w:szCs w:val="24"/>
          <w:lang w:val="en-US" w:eastAsia="zh-CN"/>
        </w:rPr>
        <w:t>（实质性要求）</w:t>
      </w:r>
    </w:p>
    <w:p w14:paraId="454816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本项目最高限价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5.85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>万元。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31"/>
        <w:gridCol w:w="3870"/>
        <w:gridCol w:w="516"/>
        <w:gridCol w:w="517"/>
        <w:gridCol w:w="696"/>
        <w:gridCol w:w="816"/>
        <w:gridCol w:w="517"/>
      </w:tblGrid>
      <w:tr w14:paraId="65AE2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E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7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4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参数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3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D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限价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F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D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29AC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7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8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指纹门禁一体机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0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1、支持≥2.4寸液晶屏，屏幕显示分辨率≥240×300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2、支持语音提示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3、支持门铃功能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4、支持至少5000个用户、3000指纹、5000个密码、10万事件记录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5、支持门控安全模块扩展，防止断电开门，提升门控安全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6、至少包含指纹/密码/远程开门模式，并支持多种组合识别鉴权方式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7、支持多人组合开门(平台可配）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8、至少包含胁迫报警、防拆报警、闯入报警、门超时报警、非法卡超次报警、非法密码超次报警、外部报警，防反潜报警等功能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9、至少包含来宾用户、巡逻用户、黑名单用户、VIP用户、普通用户、其他用户等用户设置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10、支持TCP/IP接入网络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11、支持在线升级，USB升级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12、支持智能门禁管理平台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13、耐高低温，支持工作温度-10-55℃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14、支持明装/86盒安装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15、至少具有以下硬件接口:LAN(100M自适应)、RS485、RS232、韦根、USB、喇叭扬声器、报警输入、报警输出、门锁控制、门磁反馈、PSAM、门铃输出、读卡器、锁供电接口、POE接口等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16、刷卡识读距离试验:0cm—8cm（提供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具有检测资质的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第三方有效检测报告复印件加盖投标人公章）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17、支持在线对本机或外接读卡器或本地U盘方式升级。（提供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具有检测资质的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第三方有效检测报告复印件加盖投标人公章）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0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A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0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27000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508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 w14:paraId="7080E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9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4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磁力锁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D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1、最大拉力：220kg±10%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2、外壳材料：铝合金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3、表面工艺：阳极氧化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4、安全类型：断电开门</w:t>
            </w:r>
          </w:p>
          <w:p w14:paraId="3FC70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5、供电方式：360mA×12V/180mA×24V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5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9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9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0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8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4404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C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6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开门按钮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9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1、外壳材料：ABS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2、电气性能：最大电流：3A36VDC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3、耐用测试：≥五十万次老化测试合格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4、接点输出：NO/COM接点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C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6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0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5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0A52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F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2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磁力锁支架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7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1、外壳材料：铝合金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2、表面工艺：阳极氧化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3、产品尺寸：28.5mm×47mm×250mm（高×宽×长）±5%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F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0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5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0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7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974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4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F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闭门器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F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1、支持门宽≥900mm，门重≥50kg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8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6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2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6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4050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2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D935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5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4D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指纹录入器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D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1、采用PC材质、亚克力面板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2、支持Mifare卡（IC卡）、ID卡、身份证(序列号)的发卡，指纹采集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3、支持USB2.0接口，即插即用，无需安装驱动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4、发卡、指纹采集成功有LED指示灯、声音提示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5、图像分辨率检查：≥508dpi。（提供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具有检测资质的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第三方有效检测报告复印件加盖投标人公章）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6、通讯功能检查：指纹模块应能将采集到的指纹图像信息经通讯接口传送给计算机，计算机也应能将保存的指纹图像信息经通讯接口传送给受试样品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7、指纹模块应能与计算机通过通讯接口进行指令传输与应答。（提供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具有检测资质的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第三方有效检测报告复印件加盖投标人公章）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2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F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5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6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D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C2D2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C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5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智能门禁管理平台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3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软硬一体化平台，集成基础管理、视频、门禁，访客，人机非目标抓拍等系统，平台开放兼容，支持后续业务模块扩展需求。系统采用开放架构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一、平台参数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永久性授权使用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单台门禁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控制点路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≥50路，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分布式部署扩展设备接入能力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2、门禁管理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（1）支持门禁权限下发状态统计，可实时展示未完成、等待下发、下发中、下发失败的授权记录数，可感知权限下发的预计完成时间，同时可按照人、卡、生物特征等授权类型统计权限下发记录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（2）支持门禁设备能力集管理，可依据设备的能力集操作相应的业务，如：卡片鉴权、人脸鉴权、指纹鉴权、一人多脸、快速核验等</w:t>
            </w:r>
          </w:p>
          <w:p w14:paraId="69085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（3）支持用户需先完成终端硬件身份识别验证，通过后才可触发APP账号密码登录流程，等功能</w:t>
            </w:r>
          </w:p>
          <w:p w14:paraId="44724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3.存储数据硬盘：≥4T磁盘存储空间，支持磁盘扩展；</w:t>
            </w:r>
          </w:p>
          <w:p w14:paraId="4E0BA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运行内存：≥32G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、移动端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（1）移动端APP支持实时预览，云台控制等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（2）支持查看报警事件详情，处理通用报警、智能报警事件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永久性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使用授权点≥50个点位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C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3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E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8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B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91C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6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4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门禁接入交换机1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9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1、交换容量至少256Gbps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2、包转发率至少60Mpps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3、设备提供至少16个10/100/1000Mbps自适应电口，2个10/100/1000Mbps自适应上行电口，2个1000Mbps自适应上行光口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A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7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2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3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1290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B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0927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1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1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门禁接入交换机2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B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1、交换容量至少16Gbps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2、包转发率至少11.904Mpps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3、业务端口至少具备8个10/100/1000BASE-T电口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B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B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2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5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4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6E42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5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3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门禁接入交换机3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1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1、交换容量至少10Gbps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2、包转发率至少7.44Mpps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3、业务端口至少具备5个10/100/1000BASE-T电口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1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9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2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8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E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3152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B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6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网线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A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1、抗拉、抗扭、耐磨、防水、撕裂绳自剥皮线缆设计特性等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2、通过福禄克测试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3、支持千兆传输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4、导体采用无氧铜，符合国家标准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5、阻燃性能符合国家标准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6、线缆长度≥300米/箱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7、导体结构：0.53mm±0.01mm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8、绝缘材质：HDPE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9、护套材料：PVC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10、绝缘层原色：8芯，蓝/白蓝、橙/白橙、绿/白绿、棕/白棕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3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1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8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9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2800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2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11AE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D6DA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BD1D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电源线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E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电源线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铜芯线截面积≥1.5mm²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每卷≥100m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6AE6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卷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A51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FB09"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AD14"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5A1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E419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8B12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Toc80952496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3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安装及调试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2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17A4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A85E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A559"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94B2"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4500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5AE6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47DA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2139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E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辅材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A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≥20PVC管、pvc管配件、软管、水晶头等材料、门体加固辅材等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3486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C355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E49FD"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547C"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1800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DD6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6556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商务要求及其他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要求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实质性要求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</w:p>
    <w:p w14:paraId="55D0819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1.合同履行期限：自合同签订生效之日起30个工作日内，供应商需完成所有门禁硬件设备及系统的安装、调试、培训及验收工作。</w:t>
      </w:r>
    </w:p>
    <w:p w14:paraId="4D39A2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2.合同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签订时间及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</w:t>
      </w:r>
    </w:p>
    <w:p w14:paraId="05DD1D3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2.1签订时间：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成交公告公示结束后30日内。</w:t>
      </w:r>
    </w:p>
    <w:p w14:paraId="62D45D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2.2履约地点：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医院各弱电井（具体位置根据采购人现场指示确定）。</w:t>
      </w:r>
    </w:p>
    <w:p w14:paraId="161699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3.付款方式：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据实结算。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货物到达采购人指定交货地点，经安装、调试、培训、验收合格，并收到供应商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合法有效的全额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发票后30日内，转账支付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实际验收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总金额90%的货款，余款10%在验收合格一年后无任何质量及违约问题30日内一次性无息转账付清。</w:t>
      </w:r>
    </w:p>
    <w:p w14:paraId="73BAB57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4.验收方式：采购人按照《财政部关于进一步加强政府采购需求和履约验收管理的指导意见》（财库〔2016〕205号）要求组织履约验收。</w:t>
      </w:r>
    </w:p>
    <w:p w14:paraId="1AEF529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5.质量保修范围和保修期：产品安装验收合格后不少于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年（与厂家质保期不一致的以较长者为准），终身保养维修；（易损件与人为因素损坏除外）。保修期内，供应商对故障设备免费维修或更换，维修响应时间不超过 2 小时，到达现场时间不超过 24 小时，维修完成时间不超过 3 个工作日，不能完成维修的，供应商无条件更换同品牌同型号的设备。</w:t>
      </w:r>
    </w:p>
    <w:p w14:paraId="328018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6.其他要求：</w:t>
      </w:r>
    </w:p>
    <w:p w14:paraId="0E2ED96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6.1培训要求：供应商应在系统验收合格后 7 个工作日内，为采购人提供不少于 2 次的操作培训，培训内容包括设备日常操作、简单故障排查、系统管理等，确保采购人操作人员能够熟练掌握相关技能。</w:t>
      </w:r>
    </w:p>
    <w:p w14:paraId="44097B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6.2技术资料要求：供应商须在验收时，向采购人提供完整的技术资料，包括设备清单、产品说明书等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0E99D44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6.3知识产权：供应商保证所提供的设备及系统软件不侵犯任何第三方知识产权，系统为一次性授权。如因此产生纠纷，由供应商承担全部责任，并赔偿采购人因此遭受的损失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341CEB13">
      <w:pPr>
        <w:spacing w:before="156" w:after="156" w:line="360" w:lineRule="auto"/>
        <w:textAlignment w:val="baseline"/>
      </w:pPr>
      <w:r>
        <w:rPr>
          <w:rFonts w:hint="eastAsia" w:asciiTheme="minorEastAsia" w:hAnsi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/>
          <w:sz w:val="24"/>
          <w:szCs w:val="24"/>
        </w:rPr>
        <w:t>本次询价采购供应商需全部满足采购需求，不允许负偏离，否则为无效响应。</w:t>
      </w:r>
    </w:p>
    <w:p w14:paraId="6E641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zh-CN"/>
        </w:rPr>
      </w:pPr>
      <w:bookmarkStart w:id="1" w:name="_Toc56091117"/>
      <w:r>
        <w:rPr>
          <w:rFonts w:hint="eastAsia" w:asciiTheme="minorEastAsia" w:hAnsiTheme="minorEastAsia" w:cstheme="minorEastAsia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zh-CN"/>
        </w:rPr>
        <w:t>、供应商资格要求及证明材料</w:t>
      </w:r>
      <w:bookmarkEnd w:id="1"/>
    </w:p>
    <w:p w14:paraId="73C19C59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 w14:paraId="59707111"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 w14:paraId="0F38408E"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 w14:paraId="1F59348D"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 w14:paraId="16649CCC"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00951B82"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 w14:paraId="6C4AF189"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 w14:paraId="0B223243"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 w14:paraId="54516DD3"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 w14:paraId="48FE34BA"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 w14:paraId="798B106B"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 w14:paraId="5F9C5464"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 w14:paraId="0CAE4417">
      <w:pPr>
        <w:spacing w:line="360" w:lineRule="auto"/>
        <w:ind w:firstLine="470" w:firstLineChars="196"/>
        <w:rPr>
          <w:rFonts w:hint="eastAsia" w:cs="宋体-18030" w:asciiTheme="minorEastAsia" w:hAnsiTheme="minorEastAsia" w:eastAsiaTheme="minorEastAsia"/>
          <w:kern w:val="0"/>
          <w:sz w:val="24"/>
          <w:lang w:val="zh-CN" w:eastAsia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8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.根据采购项目提出的特殊条件：</w:t>
      </w:r>
      <w:r>
        <w:rPr>
          <w:rFonts w:hint="eastAsia" w:asciiTheme="minorEastAsia" w:hAnsiTheme="minorEastAsia"/>
          <w:kern w:val="0"/>
          <w:sz w:val="24"/>
        </w:rPr>
        <w:t>无</w:t>
      </w:r>
      <w:r>
        <w:rPr>
          <w:rFonts w:hint="eastAsia" w:asciiTheme="minorEastAsia" w:hAnsiTheme="minorEastAsia"/>
          <w:kern w:val="0"/>
          <w:sz w:val="24"/>
          <w:lang w:eastAsia="zh-CN"/>
        </w:rPr>
        <w:t>。</w:t>
      </w:r>
    </w:p>
    <w:p w14:paraId="29F16EB6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 w14:paraId="4FCFC380">
      <w:pPr>
        <w:spacing w:line="360" w:lineRule="auto"/>
        <w:ind w:firstLine="48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 w14:paraId="074B0C42">
      <w:pPr>
        <w:spacing w:line="360" w:lineRule="auto"/>
        <w:ind w:firstLine="48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 w14:paraId="47FD0207">
      <w:pPr>
        <w:spacing w:line="360" w:lineRule="auto"/>
        <w:ind w:firstLine="48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 w14:paraId="0FAF423E">
      <w:pPr>
        <w:spacing w:line="360" w:lineRule="auto"/>
        <w:ind w:firstLine="48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 w14:paraId="3CDB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、响应文件要求</w:t>
      </w:r>
    </w:p>
    <w:p w14:paraId="7CC60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1.数量：正本一份。</w:t>
      </w:r>
    </w:p>
    <w:p w14:paraId="4F24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2.响应文件签署：应根据采购文件的要求制作，签署、盖章和内容应完整。</w:t>
      </w:r>
    </w:p>
    <w:p w14:paraId="496C0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3.响应文件制作：统一用汉语编制、A4幅面纸印制，采用非活页方式装订后密封，并在封面处标注本项目名称、申请人名称、联系人、联系电话。</w:t>
      </w:r>
    </w:p>
    <w:p w14:paraId="02E75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响应文件的递交</w:t>
      </w:r>
    </w:p>
    <w:p w14:paraId="16A6164E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2025</w:t>
      </w:r>
      <w:r>
        <w:rPr>
          <w:rFonts w:hint="eastAsia" w:cs="宋体-18030" w:asciiTheme="minorEastAsia" w:hAnsiTheme="minorEastAsia"/>
          <w:kern w:val="0"/>
          <w:sz w:val="24"/>
        </w:rPr>
        <w:t>年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8</w:t>
      </w:r>
      <w:r>
        <w:rPr>
          <w:rFonts w:hint="eastAsia" w:cs="宋体-18030" w:asciiTheme="minorEastAsia" w:hAnsiTheme="minorEastAsia"/>
          <w:kern w:val="0"/>
          <w:sz w:val="24"/>
        </w:rPr>
        <w:t>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20</w:t>
      </w:r>
      <w:bookmarkStart w:id="2" w:name="_GoBack"/>
      <w:bookmarkEnd w:id="2"/>
      <w:r>
        <w:rPr>
          <w:rFonts w:hint="eastAsia" w:cs="宋体-18030" w:asciiTheme="minorEastAsia" w:hAnsiTheme="minorEastAsia"/>
          <w:kern w:val="0"/>
          <w:sz w:val="24"/>
        </w:rPr>
        <w:t>日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17:00</w:t>
      </w:r>
      <w:r>
        <w:rPr>
          <w:rFonts w:hint="eastAsia" w:cs="宋体-18030" w:asciiTheme="minorEastAsia" w:hAnsiTheme="minorEastAsia"/>
          <w:kern w:val="0"/>
          <w:sz w:val="24"/>
        </w:rPr>
        <w:t>（北京时间）。</w:t>
      </w:r>
    </w:p>
    <w:p w14:paraId="761935E4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综合楼4楼</w:t>
      </w:r>
      <w:r>
        <w:rPr>
          <w:rFonts w:hint="eastAsia" w:cs="宋体-18030" w:asciiTheme="minorEastAsia" w:hAnsiTheme="minorEastAsia"/>
          <w:kern w:val="0"/>
          <w:sz w:val="24"/>
        </w:rPr>
        <w:t>）。</w:t>
      </w:r>
    </w:p>
    <w:p w14:paraId="18573397">
      <w:pPr>
        <w:spacing w:line="360" w:lineRule="auto"/>
        <w:ind w:firstLine="480" w:firstLineChars="200"/>
        <w:rPr>
          <w:rFonts w:cs="宋体-18030" w:asciiTheme="minorEastAsia" w:hAnsiTheme="minorEastAsia"/>
          <w:color w:val="auto"/>
          <w:kern w:val="0"/>
          <w:sz w:val="24"/>
        </w:rPr>
      </w:pPr>
      <w:r>
        <w:rPr>
          <w:rFonts w:hint="eastAsia" w:cs="宋体-18030" w:asciiTheme="minorEastAsia" w:hAnsiTheme="minorEastAsia"/>
          <w:color w:val="auto"/>
          <w:kern w:val="0"/>
          <w:sz w:val="24"/>
        </w:rPr>
        <w:t>3.逾</w:t>
      </w:r>
      <w:r>
        <w:rPr>
          <w:rFonts w:hint="eastAsia" w:cs="宋体-18030" w:asciiTheme="minorEastAsia" w:hAnsiTheme="minorEastAsia"/>
          <w:b w:val="0"/>
          <w:bCs w:val="0"/>
          <w:color w:val="auto"/>
          <w:kern w:val="0"/>
          <w:sz w:val="24"/>
        </w:rPr>
        <w:t>期送达或者未送达指定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地点的响应文件，采购人不予受理。</w:t>
      </w:r>
    </w:p>
    <w:p w14:paraId="1C93A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kern w:val="0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、联系方式</w:t>
      </w:r>
    </w:p>
    <w:p w14:paraId="76F80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采购人：资阳市雁江区人民医院</w:t>
      </w:r>
    </w:p>
    <w:p w14:paraId="36110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采购人地址： 资阳市雁江区城东新区蜀乡大道669号</w:t>
      </w:r>
    </w:p>
    <w:p w14:paraId="27B1C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联系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方式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采购办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028-26346672</w:t>
      </w:r>
    </w:p>
    <w:bookmarkEnd w:id="0"/>
    <w:p w14:paraId="302E4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 w:cstheme="minorEastAsia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zh-CN"/>
        </w:rPr>
        <w:t>、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询价采购报价书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zh-CN"/>
        </w:rPr>
        <w:t>格式</w:t>
      </w:r>
    </w:p>
    <w:p w14:paraId="04557FB6"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 w14:paraId="5C357C7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 w14:paraId="1CC14A45"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3E14CA72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一、报价表（金额单位：元）</w:t>
      </w:r>
    </w:p>
    <w:tbl>
      <w:tblPr>
        <w:tblStyle w:val="9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138"/>
        <w:gridCol w:w="2715"/>
        <w:gridCol w:w="945"/>
        <w:gridCol w:w="1020"/>
        <w:gridCol w:w="1465"/>
      </w:tblGrid>
      <w:tr w14:paraId="271D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6" w:type="dxa"/>
            <w:vAlign w:val="center"/>
          </w:tcPr>
          <w:p w14:paraId="73DC90D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2138" w:type="dxa"/>
            <w:vAlign w:val="center"/>
          </w:tcPr>
          <w:p w14:paraId="6266FAB0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2715" w:type="dxa"/>
            <w:vAlign w:val="center"/>
          </w:tcPr>
          <w:p w14:paraId="568943BA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品牌、型号</w:t>
            </w:r>
          </w:p>
        </w:tc>
        <w:tc>
          <w:tcPr>
            <w:tcW w:w="945" w:type="dxa"/>
            <w:vAlign w:val="center"/>
          </w:tcPr>
          <w:p w14:paraId="644922E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1020" w:type="dxa"/>
            <w:vAlign w:val="center"/>
          </w:tcPr>
          <w:p w14:paraId="5F5C246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465" w:type="dxa"/>
            <w:vAlign w:val="center"/>
          </w:tcPr>
          <w:p w14:paraId="0B3C6B0B">
            <w:pPr>
              <w:spacing w:line="360" w:lineRule="auto"/>
              <w:jc w:val="center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 w14:paraId="3E0A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6" w:type="dxa"/>
            <w:vAlign w:val="center"/>
          </w:tcPr>
          <w:p w14:paraId="3236EB57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2138" w:type="dxa"/>
            <w:vAlign w:val="center"/>
          </w:tcPr>
          <w:p w14:paraId="3B963641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2715" w:type="dxa"/>
            <w:vAlign w:val="center"/>
          </w:tcPr>
          <w:p w14:paraId="5DE4790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14:paraId="626E944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6A4C40B3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65" w:type="dxa"/>
            <w:vAlign w:val="center"/>
          </w:tcPr>
          <w:p w14:paraId="6C9818C5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3D7B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6" w:type="dxa"/>
            <w:vAlign w:val="center"/>
          </w:tcPr>
          <w:p w14:paraId="1996E657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2138" w:type="dxa"/>
            <w:vAlign w:val="center"/>
          </w:tcPr>
          <w:p w14:paraId="39FCF742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2715" w:type="dxa"/>
            <w:vAlign w:val="center"/>
          </w:tcPr>
          <w:p w14:paraId="06E0FC4F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14:paraId="15575E1E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57862A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65" w:type="dxa"/>
            <w:vAlign w:val="center"/>
          </w:tcPr>
          <w:p w14:paraId="5FAD4DF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7105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6" w:type="dxa"/>
            <w:vAlign w:val="center"/>
          </w:tcPr>
          <w:p w14:paraId="6754715E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2138" w:type="dxa"/>
            <w:vAlign w:val="center"/>
          </w:tcPr>
          <w:p w14:paraId="4D799800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2715" w:type="dxa"/>
            <w:vAlign w:val="center"/>
          </w:tcPr>
          <w:p w14:paraId="5830DF45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14:paraId="0E4B3A7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283F8393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65" w:type="dxa"/>
            <w:vAlign w:val="center"/>
          </w:tcPr>
          <w:p w14:paraId="019D52B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7479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6" w:type="dxa"/>
            <w:vAlign w:val="center"/>
          </w:tcPr>
          <w:p w14:paraId="4796DDF0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2138" w:type="dxa"/>
            <w:vAlign w:val="center"/>
          </w:tcPr>
          <w:p w14:paraId="58B205C8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2715" w:type="dxa"/>
            <w:vAlign w:val="center"/>
          </w:tcPr>
          <w:p w14:paraId="551AA86B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14:paraId="1C583A7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5F24C64C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65" w:type="dxa"/>
            <w:vAlign w:val="center"/>
          </w:tcPr>
          <w:p w14:paraId="2596DBB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60A8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6" w:type="dxa"/>
            <w:vAlign w:val="center"/>
          </w:tcPr>
          <w:p w14:paraId="5236151B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  <w:tc>
          <w:tcPr>
            <w:tcW w:w="2138" w:type="dxa"/>
            <w:vAlign w:val="center"/>
          </w:tcPr>
          <w:p w14:paraId="693F9721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2715" w:type="dxa"/>
            <w:vAlign w:val="center"/>
          </w:tcPr>
          <w:p w14:paraId="0BA4F76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14:paraId="0A545857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02322B4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65" w:type="dxa"/>
            <w:vAlign w:val="center"/>
          </w:tcPr>
          <w:p w14:paraId="6CE2612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1F8C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6" w:type="dxa"/>
            <w:vAlign w:val="center"/>
          </w:tcPr>
          <w:p w14:paraId="136434DD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</w:t>
            </w:r>
          </w:p>
        </w:tc>
        <w:tc>
          <w:tcPr>
            <w:tcW w:w="2138" w:type="dxa"/>
            <w:vAlign w:val="center"/>
          </w:tcPr>
          <w:p w14:paraId="6FF8442C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2715" w:type="dxa"/>
            <w:vAlign w:val="center"/>
          </w:tcPr>
          <w:p w14:paraId="52CAA91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14:paraId="60AD95FD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9FA99BA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65" w:type="dxa"/>
            <w:vAlign w:val="center"/>
          </w:tcPr>
          <w:p w14:paraId="67375BE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6596C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6" w:type="dxa"/>
            <w:vAlign w:val="center"/>
          </w:tcPr>
          <w:p w14:paraId="22339A7B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</w:t>
            </w:r>
          </w:p>
        </w:tc>
        <w:tc>
          <w:tcPr>
            <w:tcW w:w="2138" w:type="dxa"/>
            <w:vAlign w:val="center"/>
          </w:tcPr>
          <w:p w14:paraId="4FB1712B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2715" w:type="dxa"/>
            <w:vAlign w:val="center"/>
          </w:tcPr>
          <w:p w14:paraId="27D0DC2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14:paraId="6C9F5E0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AA0E155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65" w:type="dxa"/>
            <w:vAlign w:val="center"/>
          </w:tcPr>
          <w:p w14:paraId="57B28A1A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7722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6" w:type="dxa"/>
            <w:vAlign w:val="center"/>
          </w:tcPr>
          <w:p w14:paraId="65FCBA59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...</w:t>
            </w:r>
          </w:p>
        </w:tc>
        <w:tc>
          <w:tcPr>
            <w:tcW w:w="2138" w:type="dxa"/>
            <w:vAlign w:val="center"/>
          </w:tcPr>
          <w:p w14:paraId="2F6E61E8">
            <w:pPr>
              <w:pStyle w:val="6"/>
              <w:tabs>
                <w:tab w:val="left" w:pos="1500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</w:p>
        </w:tc>
        <w:tc>
          <w:tcPr>
            <w:tcW w:w="2715" w:type="dxa"/>
            <w:vAlign w:val="center"/>
          </w:tcPr>
          <w:p w14:paraId="338C92F6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vAlign w:val="center"/>
          </w:tcPr>
          <w:p w14:paraId="15BE6C2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766485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65" w:type="dxa"/>
            <w:vAlign w:val="center"/>
          </w:tcPr>
          <w:p w14:paraId="15CA810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0A21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89" w:type="dxa"/>
            <w:gridSpan w:val="6"/>
            <w:vAlign w:val="center"/>
          </w:tcPr>
          <w:p w14:paraId="2296484A">
            <w:pPr>
              <w:spacing w:line="360" w:lineRule="auto"/>
              <w:jc w:val="left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 w14:paraId="0D668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  <w:lang w:val="zh-CN"/>
        </w:rPr>
        <w:t>注:</w:t>
      </w:r>
      <w:r>
        <w:rPr>
          <w:rFonts w:hint="eastAsia" w:cs="宋体-18030" w:asciiTheme="minorEastAsia" w:hAnsiTheme="minorEastAsia"/>
          <w:b w:val="0"/>
          <w:bCs w:val="0"/>
          <w:kern w:val="0"/>
          <w:sz w:val="24"/>
          <w:lang w:val="en-US" w:eastAsia="zh-CN"/>
        </w:rPr>
        <w:t>1.所报单价不超过最高单价限价。2.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根据实际供货数量按批次支付。</w:t>
      </w:r>
      <w:r>
        <w:rPr>
          <w:rFonts w:hint="eastAsia" w:cs="宋体-18030" w:asciiTheme="minorEastAsia" w:hAnsiTheme="minorEastAsia"/>
          <w:b w:val="0"/>
          <w:bCs w:val="0"/>
          <w:kern w:val="0"/>
          <w:sz w:val="24"/>
          <w:lang w:val="en-US" w:eastAsia="zh-CN"/>
        </w:rPr>
        <w:t>3.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所报价格是交货地的验收价格，其单价即为履行合同的固定价格。运输、检验、税金和人工等费用均包含在报价中。</w:t>
      </w:r>
    </w:p>
    <w:p w14:paraId="372355DE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二、是否全部响应本次采购需求：是□  否□</w:t>
      </w:r>
    </w:p>
    <w:p w14:paraId="53B8FFC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 w14:paraId="752908A2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 w14:paraId="55AAD8C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 w14:paraId="2D92D1C2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 w14:paraId="39E7AABC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</w:t>
      </w:r>
      <w:r>
        <w:rPr>
          <w:rFonts w:hint="eastAsia" w:cs="宋体-18030" w:asciiTheme="minorEastAsia" w:hAnsiTheme="minorEastAsia"/>
          <w:kern w:val="0"/>
          <w:sz w:val="24"/>
        </w:rPr>
        <w:t xml:space="preserve">  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投标人名称（盖章）：</w:t>
      </w:r>
    </w:p>
    <w:p w14:paraId="0F52A8F6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</w:t>
      </w:r>
      <w:r>
        <w:rPr>
          <w:rFonts w:hint="eastAsia" w:cs="宋体-18030" w:asciiTheme="minorEastAsia" w:hAnsiTheme="minorEastAsia"/>
          <w:kern w:val="0"/>
          <w:sz w:val="24"/>
        </w:rPr>
        <w:t xml:space="preserve">  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法定代表人或授权代表：</w:t>
      </w:r>
    </w:p>
    <w:p w14:paraId="798EA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</w:t>
      </w:r>
      <w:r>
        <w:rPr>
          <w:rFonts w:hint="eastAsia" w:cs="宋体-18030" w:asciiTheme="minorEastAsia" w:hAnsiTheme="minorEastAsia"/>
          <w:kern w:val="0"/>
          <w:sz w:val="24"/>
        </w:rPr>
        <w:t xml:space="preserve">       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年     月     日 </w:t>
      </w:r>
    </w:p>
    <w:p w14:paraId="1C237587">
      <w:pPr>
        <w:rPr>
          <w:rFonts w:ascii="仿宋" w:hAnsi="仿宋" w:eastAsia="仿宋" w:cs="宋体-18030"/>
          <w:kern w:val="0"/>
          <w:sz w:val="28"/>
          <w:szCs w:val="28"/>
          <w:lang w:val="zh-CN"/>
        </w:rPr>
      </w:pPr>
    </w:p>
    <w:p w14:paraId="617F12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85891"/>
    <w:multiLevelType w:val="singleLevel"/>
    <w:tmpl w:val="D17858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642482"/>
    <w:multiLevelType w:val="multilevel"/>
    <w:tmpl w:val="55642482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ascii="宋体" w:hAnsi="宋体" w:eastAsia="宋体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2"/>
        <w:u w:val="none"/>
        <w:shd w:val="clear" w:color="auto" w:fill="auto"/>
        <w:vertAlign w:val="baseline"/>
      </w:rPr>
    </w:lvl>
    <w:lvl w:ilvl="3" w:tentative="0">
      <w:start w:val="1"/>
      <w:numFmt w:val="decimal"/>
      <w:pStyle w:val="3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GQ2MzM2NDFlYjkwNmFlMmQxMzkyMjk1Mjg2ODIifQ=="/>
  </w:docVars>
  <w:rsids>
    <w:rsidRoot w:val="7C142A60"/>
    <w:rsid w:val="00125390"/>
    <w:rsid w:val="00541C92"/>
    <w:rsid w:val="005F6D10"/>
    <w:rsid w:val="007B3317"/>
    <w:rsid w:val="00831FC9"/>
    <w:rsid w:val="00A46CE0"/>
    <w:rsid w:val="00B9572E"/>
    <w:rsid w:val="00CF350D"/>
    <w:rsid w:val="00F85EFD"/>
    <w:rsid w:val="026223A4"/>
    <w:rsid w:val="05474815"/>
    <w:rsid w:val="05815C5A"/>
    <w:rsid w:val="05947B98"/>
    <w:rsid w:val="06B56E9F"/>
    <w:rsid w:val="07B67433"/>
    <w:rsid w:val="07FB4E2D"/>
    <w:rsid w:val="083B16CD"/>
    <w:rsid w:val="083C0E6D"/>
    <w:rsid w:val="0ABD2111"/>
    <w:rsid w:val="0C3B6A80"/>
    <w:rsid w:val="0E0A28AA"/>
    <w:rsid w:val="0E6E516C"/>
    <w:rsid w:val="12E40CA1"/>
    <w:rsid w:val="13855EF2"/>
    <w:rsid w:val="13A9398F"/>
    <w:rsid w:val="14980FD7"/>
    <w:rsid w:val="166D783F"/>
    <w:rsid w:val="19474F61"/>
    <w:rsid w:val="19E0295F"/>
    <w:rsid w:val="1AD574D9"/>
    <w:rsid w:val="1BB4605B"/>
    <w:rsid w:val="1C340F4C"/>
    <w:rsid w:val="1DC30C2D"/>
    <w:rsid w:val="1F3F164B"/>
    <w:rsid w:val="207C78F8"/>
    <w:rsid w:val="224C6559"/>
    <w:rsid w:val="2293743E"/>
    <w:rsid w:val="22996C4E"/>
    <w:rsid w:val="23892A69"/>
    <w:rsid w:val="23D35130"/>
    <w:rsid w:val="24F67567"/>
    <w:rsid w:val="25090731"/>
    <w:rsid w:val="25EC0D69"/>
    <w:rsid w:val="26D20FF7"/>
    <w:rsid w:val="270052BF"/>
    <w:rsid w:val="281D62A2"/>
    <w:rsid w:val="29C62882"/>
    <w:rsid w:val="29CE3CF8"/>
    <w:rsid w:val="2A9C5BA4"/>
    <w:rsid w:val="2B23138D"/>
    <w:rsid w:val="2BAC5ACF"/>
    <w:rsid w:val="2D4F3CC8"/>
    <w:rsid w:val="2D7B4549"/>
    <w:rsid w:val="2E3D144C"/>
    <w:rsid w:val="305B3E0B"/>
    <w:rsid w:val="30ED48DF"/>
    <w:rsid w:val="319666DD"/>
    <w:rsid w:val="33354DE7"/>
    <w:rsid w:val="358C3FC9"/>
    <w:rsid w:val="35CB7811"/>
    <w:rsid w:val="36FC7443"/>
    <w:rsid w:val="371206BC"/>
    <w:rsid w:val="38144EB8"/>
    <w:rsid w:val="38C24BCE"/>
    <w:rsid w:val="39916AF0"/>
    <w:rsid w:val="399A02A7"/>
    <w:rsid w:val="3B962CA6"/>
    <w:rsid w:val="3DE74F30"/>
    <w:rsid w:val="400843D1"/>
    <w:rsid w:val="41932F2C"/>
    <w:rsid w:val="42AC6BC1"/>
    <w:rsid w:val="42CB6BCE"/>
    <w:rsid w:val="44A91191"/>
    <w:rsid w:val="461A6D9D"/>
    <w:rsid w:val="468862F1"/>
    <w:rsid w:val="468A0B4E"/>
    <w:rsid w:val="470D2546"/>
    <w:rsid w:val="472F46C3"/>
    <w:rsid w:val="48DF6D09"/>
    <w:rsid w:val="49B6090D"/>
    <w:rsid w:val="4B414FAA"/>
    <w:rsid w:val="4B702A09"/>
    <w:rsid w:val="4BE93688"/>
    <w:rsid w:val="4C4F2BC8"/>
    <w:rsid w:val="4DD16C2A"/>
    <w:rsid w:val="5055717A"/>
    <w:rsid w:val="51F44496"/>
    <w:rsid w:val="528642E9"/>
    <w:rsid w:val="52D22F9D"/>
    <w:rsid w:val="536A059B"/>
    <w:rsid w:val="53D4761D"/>
    <w:rsid w:val="53F9271C"/>
    <w:rsid w:val="54253A51"/>
    <w:rsid w:val="54ED596D"/>
    <w:rsid w:val="56A65D11"/>
    <w:rsid w:val="56E56AEE"/>
    <w:rsid w:val="5C8355A0"/>
    <w:rsid w:val="5D3B5847"/>
    <w:rsid w:val="5D975770"/>
    <w:rsid w:val="5DC91BB1"/>
    <w:rsid w:val="5DE902BF"/>
    <w:rsid w:val="5FAC34B6"/>
    <w:rsid w:val="61BA7DB9"/>
    <w:rsid w:val="62571DD5"/>
    <w:rsid w:val="636F5DBD"/>
    <w:rsid w:val="667647A1"/>
    <w:rsid w:val="67344084"/>
    <w:rsid w:val="67980EC5"/>
    <w:rsid w:val="684C7AA9"/>
    <w:rsid w:val="69C6614E"/>
    <w:rsid w:val="6BAB1983"/>
    <w:rsid w:val="6DAD6426"/>
    <w:rsid w:val="710442E5"/>
    <w:rsid w:val="71211F2C"/>
    <w:rsid w:val="717A2BEB"/>
    <w:rsid w:val="72F4108E"/>
    <w:rsid w:val="73A330CC"/>
    <w:rsid w:val="74A82185"/>
    <w:rsid w:val="74B530B7"/>
    <w:rsid w:val="74D31C39"/>
    <w:rsid w:val="75502DDF"/>
    <w:rsid w:val="761C7166"/>
    <w:rsid w:val="784C28F0"/>
    <w:rsid w:val="787C30E1"/>
    <w:rsid w:val="79B244D1"/>
    <w:rsid w:val="7A6F3D08"/>
    <w:rsid w:val="7B8F1A20"/>
    <w:rsid w:val="7C064C1A"/>
    <w:rsid w:val="7C142A60"/>
    <w:rsid w:val="7C8C0B53"/>
    <w:rsid w:val="7C943154"/>
    <w:rsid w:val="7DF4358C"/>
    <w:rsid w:val="7E4E07B3"/>
    <w:rsid w:val="7E7377C6"/>
    <w:rsid w:val="7ECE482C"/>
    <w:rsid w:val="7ED95BF4"/>
    <w:rsid w:val="7EE07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240" w:lineRule="auto"/>
      <w:ind w:firstLine="420" w:firstLineChars="0"/>
      <w:jc w:val="both"/>
    </w:pPr>
    <w:rPr>
      <w:kern w:val="0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99"/>
    <w:pPr>
      <w:spacing w:after="120"/>
    </w:pPr>
  </w:style>
  <w:style w:type="paragraph" w:styleId="7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8">
    <w:name w:val="toc 1"/>
    <w:basedOn w:val="1"/>
    <w:next w:val="1"/>
    <w:qFormat/>
    <w:uiPriority w:val="39"/>
  </w:style>
  <w:style w:type="character" w:customStyle="1" w:styleId="11">
    <w:name w:val="标题 2 Char"/>
    <w:basedOn w:val="10"/>
    <w:link w:val="2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font21"/>
    <w:basedOn w:val="10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3">
    <w:name w:val="font41"/>
    <w:basedOn w:val="10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4">
    <w:name w:val="font61"/>
    <w:basedOn w:val="10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3571</Words>
  <Characters>4010</Characters>
  <Lines>16</Lines>
  <Paragraphs>4</Paragraphs>
  <TotalTime>1</TotalTime>
  <ScaleCrop>false</ScaleCrop>
  <LinksUpToDate>false</LinksUpToDate>
  <CharactersWithSpaces>4173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LH</cp:lastModifiedBy>
  <dcterms:modified xsi:type="dcterms:W3CDTF">2025-08-14T09:57:22Z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B37E9A03DE6543409998CAF6FE3AA3A2_13</vt:lpwstr>
  </property>
  <property fmtid="{D5CDD505-2E9C-101B-9397-08002B2CF9AE}" pid="4" name="KSOTemplateDocerSaveRecord">
    <vt:lpwstr>eyJoZGlkIjoiNjdkODI3ZTUwMzcwMGY4YjM5NTQ2MmViY2U4OWU4YzIiLCJ1c2VySWQiOiIzNzgwMzE5NDAifQ==</vt:lpwstr>
  </property>
</Properties>
</file>