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82" w:tblpY="1713"/>
        <w:tblOverlap w:val="never"/>
        <w:tblW w:w="91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735"/>
        <w:gridCol w:w="4596"/>
        <w:gridCol w:w="1134"/>
        <w:gridCol w:w="2061"/>
      </w:tblGrid>
      <w:tr w14:paraId="3D722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150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448DE28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资阳市雁江区人民医院</w:t>
            </w:r>
          </w:p>
          <w:p w14:paraId="2FC61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污水处理站运维服务市场调研报价表</w:t>
            </w:r>
          </w:p>
        </w:tc>
      </w:tr>
      <w:tr w14:paraId="725E3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624" w:type="dxa"/>
            <w:noWrap/>
            <w:vAlign w:val="center"/>
          </w:tcPr>
          <w:p w14:paraId="1F36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35" w:type="dxa"/>
            <w:noWrap/>
            <w:vAlign w:val="center"/>
          </w:tcPr>
          <w:p w14:paraId="12F9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en-US"/>
              </w:rPr>
              <w:t>服务</w:t>
            </w: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596" w:type="dxa"/>
            <w:noWrap/>
            <w:vAlign w:val="center"/>
          </w:tcPr>
          <w:p w14:paraId="447D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en-US"/>
              </w:rPr>
              <w:t>服务</w:t>
            </w: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1134" w:type="dxa"/>
            <w:noWrap/>
            <w:vAlign w:val="center"/>
          </w:tcPr>
          <w:p w14:paraId="4ABE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zh-CN"/>
              </w:rPr>
              <w:t>报价</w:t>
            </w:r>
          </w:p>
          <w:p w14:paraId="1B57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w w:val="80"/>
                <w:kern w:val="0"/>
                <w:sz w:val="28"/>
                <w:szCs w:val="28"/>
                <w:lang w:eastAsia="zh-CN"/>
              </w:rPr>
              <w:t>（万元</w:t>
            </w:r>
            <w:r>
              <w:rPr>
                <w:rFonts w:hint="eastAsia" w:ascii="Times New Roman" w:hAnsi="Times New Roman" w:eastAsia="方正仿宋简体" w:cs="微软雅黑"/>
                <w:b/>
                <w:bCs/>
                <w:w w:val="80"/>
                <w:kern w:val="0"/>
                <w:sz w:val="28"/>
                <w:szCs w:val="28"/>
                <w:lang w:val="en-US" w:eastAsia="zh-CN"/>
              </w:rPr>
              <w:t>/年）</w:t>
            </w:r>
          </w:p>
        </w:tc>
        <w:tc>
          <w:tcPr>
            <w:tcW w:w="2061" w:type="dxa"/>
            <w:noWrap/>
            <w:vAlign w:val="center"/>
          </w:tcPr>
          <w:p w14:paraId="73A27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简体" w:cs="微软雅黑"/>
                <w:b/>
                <w:bCs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14:paraId="55D8C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  <w:jc w:val="center"/>
        </w:trPr>
        <w:tc>
          <w:tcPr>
            <w:tcW w:w="624" w:type="dxa"/>
            <w:noWrap/>
            <w:vAlign w:val="center"/>
          </w:tcPr>
          <w:p w14:paraId="1DECD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5" w:type="dxa"/>
            <w:noWrap/>
            <w:vAlign w:val="center"/>
          </w:tcPr>
          <w:p w14:paraId="58F3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  <w:t>服务</w:t>
            </w:r>
          </w:p>
        </w:tc>
        <w:tc>
          <w:tcPr>
            <w:tcW w:w="4596" w:type="dxa"/>
            <w:shd w:val="clear" w:color="auto" w:fill="auto"/>
            <w:noWrap/>
            <w:vAlign w:val="center"/>
          </w:tcPr>
          <w:p w14:paraId="43C2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新老院区污水处理站日常管理，解决运维期间出现的所有问题，相关台账记录，排污许可证执行报告填报，应急预案编写，按照环评、竣工验收报告及国家、地方法律法规要求开展相关工作，协助医院迎接各项检查，医院交办的其他相关事宜等。</w:t>
            </w:r>
          </w:p>
        </w:tc>
        <w:tc>
          <w:tcPr>
            <w:tcW w:w="1134" w:type="dxa"/>
            <w:noWrap/>
            <w:vAlign w:val="center"/>
          </w:tcPr>
          <w:p w14:paraId="7264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noWrap/>
            <w:vAlign w:val="center"/>
          </w:tcPr>
          <w:p w14:paraId="193D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</w:p>
        </w:tc>
      </w:tr>
      <w:tr w14:paraId="35B9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24" w:type="dxa"/>
            <w:noWrap/>
            <w:vAlign w:val="center"/>
          </w:tcPr>
          <w:p w14:paraId="7F3C0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35" w:type="dxa"/>
            <w:noWrap/>
            <w:vAlign w:val="center"/>
          </w:tcPr>
          <w:p w14:paraId="0BE6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  <w:t>检测服务</w:t>
            </w:r>
          </w:p>
        </w:tc>
        <w:tc>
          <w:tcPr>
            <w:tcW w:w="4596" w:type="dxa"/>
            <w:noWrap/>
            <w:vAlign w:val="center"/>
          </w:tcPr>
          <w:p w14:paraId="2E64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新老院区污水监测，新院区二次供水检测及污水处理站废气检测。</w:t>
            </w:r>
          </w:p>
        </w:tc>
        <w:tc>
          <w:tcPr>
            <w:tcW w:w="1134" w:type="dxa"/>
            <w:noWrap/>
            <w:vAlign w:val="center"/>
          </w:tcPr>
          <w:p w14:paraId="5A4A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noWrap/>
            <w:vAlign w:val="center"/>
          </w:tcPr>
          <w:p w14:paraId="6871B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检测项目及要求详见附件</w:t>
            </w: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56BD3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624" w:type="dxa"/>
            <w:noWrap/>
            <w:vAlign w:val="center"/>
          </w:tcPr>
          <w:p w14:paraId="041C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5" w:type="dxa"/>
            <w:noWrap/>
            <w:vAlign w:val="center"/>
          </w:tcPr>
          <w:p w14:paraId="0406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  <w:t>运行服务</w:t>
            </w:r>
          </w:p>
        </w:tc>
        <w:tc>
          <w:tcPr>
            <w:tcW w:w="4596" w:type="dxa"/>
            <w:noWrap/>
            <w:vAlign w:val="center"/>
          </w:tcPr>
          <w:p w14:paraId="1DE2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  <w:t>新老院区</w:t>
            </w: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污水处理设施、新院区在线监测设施运行，包含人工、消毒药剂、在线设施配套试剂、流量网卡、低于500元的易损件更换等相关费用</w:t>
            </w:r>
          </w:p>
        </w:tc>
        <w:tc>
          <w:tcPr>
            <w:tcW w:w="1134" w:type="dxa"/>
            <w:noWrap/>
            <w:vAlign w:val="center"/>
          </w:tcPr>
          <w:p w14:paraId="6A6F0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noWrap/>
            <w:vAlign w:val="center"/>
          </w:tcPr>
          <w:p w14:paraId="5ACA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</w:p>
        </w:tc>
      </w:tr>
      <w:tr w14:paraId="48787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624" w:type="dxa"/>
            <w:noWrap/>
            <w:vAlign w:val="center"/>
          </w:tcPr>
          <w:p w14:paraId="3B764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5" w:type="dxa"/>
            <w:noWrap/>
            <w:vAlign w:val="center"/>
          </w:tcPr>
          <w:p w14:paraId="111DF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污水处理</w:t>
            </w:r>
          </w:p>
        </w:tc>
        <w:tc>
          <w:tcPr>
            <w:tcW w:w="4596" w:type="dxa"/>
            <w:noWrap/>
            <w:vAlign w:val="center"/>
          </w:tcPr>
          <w:p w14:paraId="3F824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预计年处理量1</w:t>
            </w: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万吨污水</w:t>
            </w:r>
          </w:p>
        </w:tc>
        <w:tc>
          <w:tcPr>
            <w:tcW w:w="1134" w:type="dxa"/>
            <w:noWrap/>
            <w:vAlign w:val="center"/>
          </w:tcPr>
          <w:p w14:paraId="5574D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61" w:type="dxa"/>
            <w:noWrap/>
            <w:vAlign w:val="center"/>
          </w:tcPr>
          <w:p w14:paraId="0C9E9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明确每吨污水处理价格，乘以预计年处理量报价</w:t>
            </w:r>
          </w:p>
        </w:tc>
      </w:tr>
      <w:tr w14:paraId="262B8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24" w:type="dxa"/>
            <w:noWrap/>
            <w:vAlign w:val="center"/>
          </w:tcPr>
          <w:p w14:paraId="179AB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5" w:type="dxa"/>
            <w:noWrap/>
            <w:vAlign w:val="center"/>
          </w:tcPr>
          <w:p w14:paraId="3599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596" w:type="dxa"/>
            <w:noWrap/>
            <w:vAlign w:val="center"/>
          </w:tcPr>
          <w:p w14:paraId="0926D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noWrap/>
            <w:vAlign w:val="center"/>
          </w:tcPr>
          <w:p w14:paraId="2AAC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微软雅黑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61" w:type="dxa"/>
            <w:noWrap/>
            <w:vAlign w:val="center"/>
          </w:tcPr>
          <w:p w14:paraId="5B3C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简体" w:cs="微软雅黑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6E27293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3AB5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Times New Roman" w:hAnsi="Times New Roman" w:eastAsia="方正仿宋简体" w:cs="微软雅黑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微软雅黑"/>
          <w:kern w:val="0"/>
          <w:sz w:val="28"/>
          <w:szCs w:val="28"/>
          <w:lang w:eastAsia="zh-CN"/>
        </w:rPr>
        <w:t>公司名称：</w:t>
      </w:r>
    </w:p>
    <w:p w14:paraId="0366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Times New Roman" w:hAnsi="Times New Roman" w:eastAsia="方正仿宋简体" w:cs="微软雅黑"/>
          <w:kern w:val="0"/>
          <w:sz w:val="28"/>
          <w:szCs w:val="28"/>
          <w:lang w:eastAsia="zh-CN"/>
        </w:rPr>
      </w:pPr>
    </w:p>
    <w:p w14:paraId="7D46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eastAsia" w:ascii="Times New Roman" w:hAnsi="Times New Roman" w:eastAsia="方正仿宋简体" w:cs="微软雅黑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微软雅黑"/>
          <w:kern w:val="0"/>
          <w:sz w:val="28"/>
          <w:szCs w:val="28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81227"/>
    <w:rsid w:val="44A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napToGrid w:val="0"/>
      <w:spacing w:line="440" w:lineRule="exact"/>
    </w:pPr>
    <w:rPr>
      <w:rFonts w:ascii="Times New Roman" w:eastAsia="Times New Roman"/>
      <w:sz w:val="20"/>
    </w:rPr>
  </w:style>
  <w:style w:type="table" w:customStyle="1" w:styleId="5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315</Characters>
  <Lines>0</Lines>
  <Paragraphs>0</Paragraphs>
  <TotalTime>1</TotalTime>
  <ScaleCrop>false</ScaleCrop>
  <LinksUpToDate>false</LinksUpToDate>
  <CharactersWithSpaces>315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2025-06-26T09:08:00Z</dcterms:created>
  <dc:creator>Administrator</dc:creator>
  <cp:lastModifiedBy>知秋梧桐</cp:lastModifiedBy>
  <dcterms:modified xsi:type="dcterms:W3CDTF">2025-06-26T12:37:40Z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eyJoZGlkIjoiN2ZkOTc1Y2ZkMzU1YjRiMWZkMDMyZmFlY2M2ZDNkYTkiLCJ1c2VySWQiOiI5ODIxODE5MDUifQ==</vt:lpwstr>
  </property>
  <property fmtid="{D5CDD505-2E9C-101B-9397-08002B2CF9AE}" pid="4" name="ICV">
    <vt:lpwstr>30B193C739BE42079561EEEA7B023C3D_12</vt:lpwstr>
  </property>
</Properties>
</file>