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lang w:eastAsia="zh-CN"/>
        </w:rPr>
        <w:t>直购电（</w:t>
      </w:r>
      <w:r>
        <w:rPr>
          <w:rFonts w:hint="eastAsia" w:ascii="宋体" w:hAnsi="宋体" w:eastAsia="宋体"/>
          <w:b/>
          <w:sz w:val="44"/>
          <w:szCs w:val="44"/>
          <w:lang w:val="en-US" w:eastAsia="zh-CN"/>
        </w:rPr>
        <w:t>第二次</w:t>
      </w:r>
      <w:r>
        <w:rPr>
          <w:rFonts w:hint="eastAsia" w:ascii="宋体" w:hAnsi="宋体" w:eastAsia="宋体"/>
          <w:b/>
          <w:sz w:val="44"/>
          <w:szCs w:val="44"/>
          <w:lang w:eastAsia="zh-CN"/>
        </w:rPr>
        <w:t>）</w:t>
      </w:r>
      <w:r>
        <w:rPr>
          <w:rFonts w:hint="eastAsia" w:ascii="方正小标宋简体" w:hAnsi="方正小标宋简体" w:eastAsia="方正小标宋简体"/>
          <w:sz w:val="44"/>
          <w:szCs w:val="44"/>
        </w:rPr>
        <w:t>询价采购需求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宋体" w:eastAsia="仿宋_GB2312" w:cs="仿宋_GB2312"/>
          <w:b/>
          <w:bCs/>
          <w:i w:val="0"/>
          <w:iCs w:val="0"/>
          <w:caps w:val="0"/>
          <w:color w:val="666666"/>
          <w:spacing w:val="15"/>
          <w:sz w:val="28"/>
          <w:szCs w:val="28"/>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2"/>
          <w:sz w:val="28"/>
          <w:szCs w:val="28"/>
          <w:lang w:val="en-US" w:eastAsia="zh-CN" w:bidi="ar-SA"/>
        </w:rPr>
        <w:t>一、采购内容：</w:t>
      </w:r>
      <w:r>
        <w:rPr>
          <w:rFonts w:hint="default" w:ascii="Times New Roman" w:hAnsi="Times New Roman" w:cs="Times New Roman" w:eastAsiaTheme="minorEastAsia"/>
          <w:color w:val="auto"/>
          <w:kern w:val="2"/>
          <w:sz w:val="28"/>
          <w:szCs w:val="28"/>
          <w:lang w:val="en-US" w:eastAsia="zh-CN" w:bidi="ar-SA"/>
        </w:rPr>
        <w:t>本项目为采购直购电服务。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Times New Roman" w:hAnsi="Times New Roman" w:cs="Times New Roman"/>
          <w:b/>
          <w:bCs/>
          <w:color w:val="auto"/>
          <w:sz w:val="28"/>
          <w:szCs w:val="28"/>
        </w:rPr>
      </w:pPr>
      <w:r>
        <w:rPr>
          <w:rFonts w:hint="default" w:ascii="Times New Roman" w:hAnsi="Times New Roman" w:cs="Times New Roman" w:eastAsiaTheme="minorEastAsia"/>
          <w:b/>
          <w:bCs/>
          <w:color w:val="auto"/>
          <w:kern w:val="2"/>
          <w:sz w:val="28"/>
          <w:szCs w:val="28"/>
          <w:lang w:val="en-US" w:eastAsia="zh-CN" w:bidi="ar-SA"/>
        </w:rPr>
        <w:t>二、</w:t>
      </w:r>
      <w:r>
        <w:rPr>
          <w:rFonts w:hint="eastAsia" w:ascii="Times New Roman" w:hAnsi="Times New Roman" w:cs="Times New Roman"/>
          <w:b/>
          <w:bCs/>
          <w:color w:val="auto"/>
          <w:kern w:val="2"/>
          <w:sz w:val="28"/>
          <w:szCs w:val="28"/>
          <w:lang w:val="en-US" w:eastAsia="zh-CN" w:bidi="ar-SA"/>
        </w:rPr>
        <w:t>预计用电量：</w:t>
      </w:r>
      <w:r>
        <w:rPr>
          <w:rFonts w:hint="eastAsia" w:ascii="Times New Roman" w:hAnsi="Times New Roman" w:cs="Times New Roman"/>
          <w:b w:val="0"/>
          <w:bCs w:val="0"/>
          <w:color w:val="auto"/>
          <w:kern w:val="2"/>
          <w:sz w:val="28"/>
          <w:szCs w:val="28"/>
          <w:lang w:val="en-US" w:eastAsia="zh-CN" w:bidi="ar-SA"/>
        </w:rPr>
        <w:t>2024年7月至2025年12月930万kW·h。</w:t>
      </w:r>
      <w:bookmarkStart w:id="1" w:name="_GoBack"/>
      <w:bookmarkEnd w:id="1"/>
    </w:p>
    <w:p>
      <w:pPr>
        <w:widowControl/>
        <w:numPr>
          <w:ilvl w:val="0"/>
          <w:numId w:val="0"/>
        </w:numPr>
        <w:shd w:val="clear" w:color="auto" w:fill="FFFFFF"/>
        <w:spacing w:line="360" w:lineRule="auto"/>
        <w:jc w:val="left"/>
        <w:rPr>
          <w:rFonts w:hint="default" w:ascii="Times New Roman" w:hAnsi="Times New Roman" w:cs="Times New Roman"/>
          <w:b/>
          <w:bCs/>
          <w:color w:val="auto"/>
          <w:sz w:val="28"/>
          <w:szCs w:val="28"/>
        </w:rPr>
      </w:pPr>
      <w:r>
        <w:rPr>
          <w:rFonts w:hint="eastAsia" w:ascii="Times New Roman" w:hAnsi="Times New Roman" w:cs="Times New Roman"/>
          <w:b/>
          <w:bCs/>
          <w:color w:val="auto"/>
          <w:kern w:val="2"/>
          <w:sz w:val="28"/>
          <w:szCs w:val="28"/>
          <w:lang w:val="en-US" w:eastAsia="zh-CN" w:bidi="ar-SA"/>
        </w:rPr>
        <w:t>三</w:t>
      </w:r>
      <w:r>
        <w:rPr>
          <w:rFonts w:hint="eastAsia" w:ascii="Times New Roman" w:hAnsi="Times New Roman" w:cs="Times New Roman" w:eastAsiaTheme="minorEastAsia"/>
          <w:b/>
          <w:bCs/>
          <w:color w:val="auto"/>
          <w:kern w:val="2"/>
          <w:sz w:val="28"/>
          <w:szCs w:val="28"/>
          <w:lang w:val="en-US" w:eastAsia="zh-CN" w:bidi="ar-SA"/>
        </w:rPr>
        <w:t>、</w:t>
      </w:r>
      <w:r>
        <w:rPr>
          <w:rFonts w:hint="default" w:ascii="Times New Roman" w:hAnsi="Times New Roman" w:cs="Times New Roman"/>
          <w:b/>
          <w:bCs/>
          <w:color w:val="auto"/>
          <w:sz w:val="28"/>
          <w:szCs w:val="28"/>
        </w:rPr>
        <w:t>采购</w:t>
      </w:r>
      <w:r>
        <w:rPr>
          <w:rFonts w:hint="default" w:ascii="Times New Roman" w:hAnsi="Times New Roman" w:cs="Times New Roman"/>
          <w:b/>
          <w:bCs/>
          <w:color w:val="auto"/>
          <w:sz w:val="28"/>
          <w:szCs w:val="28"/>
          <w:lang w:eastAsia="zh-CN"/>
        </w:rPr>
        <w:t>技术要求（实质性</w:t>
      </w:r>
      <w:r>
        <w:rPr>
          <w:rFonts w:hint="eastAsia" w:ascii="Times New Roman" w:hAnsi="Times New Roman" w:cs="Times New Roman"/>
          <w:b/>
          <w:bCs/>
          <w:color w:val="auto"/>
          <w:sz w:val="28"/>
          <w:szCs w:val="28"/>
          <w:lang w:val="en-US" w:eastAsia="zh-CN"/>
        </w:rPr>
        <w:t>要求</w:t>
      </w:r>
      <w:r>
        <w:rPr>
          <w:rFonts w:hint="default" w:ascii="Times New Roman" w:hAnsi="Times New Roman" w:cs="Times New Roman"/>
          <w:b/>
          <w:bCs/>
          <w:color w:val="auto"/>
          <w:sz w:val="28"/>
          <w:szCs w:val="28"/>
          <w:lang w:eastAsia="zh-CN"/>
        </w:rPr>
        <w:t>）</w:t>
      </w:r>
    </w:p>
    <w:tbl>
      <w:tblPr>
        <w:tblStyle w:val="15"/>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gridSpan w:val="2"/>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left="375" w:leftChars="0" w:right="0" w:rightChars="0"/>
              <w:jc w:val="center"/>
              <w:rPr>
                <w:rFonts w:hint="default" w:ascii="Times New Roman" w:hAnsi="Times New Roman" w:cs="Times New Roman" w:eastAsiaTheme="minorEastAsia"/>
                <w:b/>
                <w:bCs/>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eastAsia="zh-CN"/>
              </w:rPr>
              <w:t>直购电服务采购项目相关要求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center"/>
              <w:rPr>
                <w:rFonts w:hint="default" w:ascii="Times New Roman" w:hAnsi="Times New Roman" w:cs="Times New Roman" w:eastAsiaTheme="minorEastAsia"/>
                <w:b/>
                <w:bCs/>
                <w:i w:val="0"/>
                <w:iCs w:val="0"/>
                <w:caps w:val="0"/>
                <w:color w:val="auto"/>
                <w:spacing w:val="0"/>
                <w:sz w:val="24"/>
                <w:szCs w:val="24"/>
                <w:lang w:eastAsia="zh-CN"/>
              </w:rPr>
            </w:pPr>
            <w:r>
              <w:rPr>
                <w:rFonts w:hint="default" w:ascii="Times New Roman" w:hAnsi="Times New Roman" w:cs="Times New Roman" w:eastAsiaTheme="minorEastAsia"/>
                <w:b/>
                <w:bCs/>
                <w:i w:val="0"/>
                <w:iCs w:val="0"/>
                <w:caps w:val="0"/>
                <w:color w:val="auto"/>
                <w:spacing w:val="0"/>
                <w:sz w:val="24"/>
                <w:szCs w:val="24"/>
                <w:lang w:eastAsia="zh-CN"/>
              </w:rPr>
              <w:t>服务要求</w:t>
            </w: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cs="Times New Roman" w:eastAsiaTheme="minorEastAsia"/>
                <w:b/>
                <w:bCs/>
                <w:i w:val="0"/>
                <w:iCs w:val="0"/>
                <w:caps w:val="0"/>
                <w:color w:val="auto"/>
                <w:spacing w:val="0"/>
                <w:sz w:val="24"/>
                <w:szCs w:val="24"/>
                <w:lang w:eastAsia="zh-CN"/>
              </w:rPr>
            </w:pPr>
            <w:r>
              <w:rPr>
                <w:rFonts w:hint="default" w:ascii="Times New Roman" w:hAnsi="Times New Roman" w:cs="Times New Roman" w:eastAsiaTheme="minorEastAsia"/>
                <w:b/>
                <w:bCs/>
                <w:i w:val="0"/>
                <w:iCs w:val="0"/>
                <w:caps w:val="0"/>
                <w:color w:val="auto"/>
                <w:spacing w:val="0"/>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left"/>
              <w:rPr>
                <w:rFonts w:hint="default" w:ascii="Times New Roman" w:hAnsi="Times New Roman" w:cs="Times New Roman" w:eastAsiaTheme="minorEastAsia"/>
                <w:i w:val="0"/>
                <w:iCs w:val="0"/>
                <w:caps w:val="0"/>
                <w:color w:val="auto"/>
                <w:spacing w:val="0"/>
                <w:sz w:val="24"/>
                <w:szCs w:val="24"/>
                <w:lang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eastAsia="zh-CN"/>
              </w:rPr>
              <w:t>1、安全巡视：每季度1次精细化安全巡视，全年夜间巡视4次，并出具巡视报告。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left"/>
              <w:rPr>
                <w:rFonts w:hint="default" w:ascii="Times New Roman" w:hAnsi="Times New Roman" w:cs="Times New Roman" w:eastAsiaTheme="minorEastAsia"/>
                <w:i w:val="0"/>
                <w:iCs w:val="0"/>
                <w:caps w:val="0"/>
                <w:color w:val="auto"/>
                <w:spacing w:val="0"/>
                <w:sz w:val="24"/>
                <w:szCs w:val="24"/>
                <w:lang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eastAsia="zh-CN"/>
              </w:rPr>
              <w:t>2、抢修服务：全年提供事故抢修处理，并分析故障原因。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val="en-US" w:eastAsia="zh-CN"/>
              </w:rPr>
              <w:t>3</w:t>
            </w:r>
            <w:r>
              <w:rPr>
                <w:rFonts w:hint="default" w:ascii="Times New Roman" w:hAnsi="Times New Roman" w:cs="Times New Roman" w:eastAsiaTheme="minorEastAsia"/>
                <w:i w:val="0"/>
                <w:iCs w:val="0"/>
                <w:caps w:val="0"/>
                <w:color w:val="auto"/>
                <w:spacing w:val="0"/>
                <w:sz w:val="24"/>
                <w:szCs w:val="24"/>
                <w:lang w:eastAsia="zh-CN"/>
              </w:rPr>
              <w:t>、设备保障服务：对采购人使用的各类输、配、变电电力设备</w:t>
            </w:r>
            <w:r>
              <w:rPr>
                <w:rFonts w:hint="default" w:ascii="Times New Roman" w:hAnsi="Times New Roman" w:cs="Times New Roman"/>
                <w:i w:val="0"/>
                <w:iCs w:val="0"/>
                <w:caps w:val="0"/>
                <w:color w:val="auto"/>
                <w:spacing w:val="0"/>
                <w:sz w:val="24"/>
                <w:szCs w:val="24"/>
                <w:lang w:eastAsia="zh-CN"/>
              </w:rPr>
              <w:t>（详情看附件）</w:t>
            </w:r>
            <w:r>
              <w:rPr>
                <w:rFonts w:hint="default" w:ascii="Times New Roman" w:hAnsi="Times New Roman" w:cs="Times New Roman" w:eastAsiaTheme="minorEastAsia"/>
                <w:i w:val="0"/>
                <w:iCs w:val="0"/>
                <w:caps w:val="0"/>
                <w:color w:val="auto"/>
                <w:spacing w:val="0"/>
                <w:sz w:val="24"/>
                <w:szCs w:val="24"/>
                <w:lang w:eastAsia="zh-CN"/>
              </w:rPr>
              <w:t>进行检修、保养、维护、安全检查。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4、年检报告：根据供电管理规定对设备进行年度预防性检测试验</w:t>
            </w:r>
            <w:r>
              <w:rPr>
                <w:rFonts w:hint="default" w:ascii="Times New Roman" w:hAnsi="Times New Roman" w:cs="Times New Roman"/>
                <w:i w:val="0"/>
                <w:iCs w:val="0"/>
                <w:caps w:val="0"/>
                <w:color w:val="auto"/>
                <w:spacing w:val="0"/>
                <w:sz w:val="24"/>
                <w:szCs w:val="24"/>
                <w:lang w:eastAsia="zh-CN"/>
              </w:rPr>
              <w:t>（详情看附件）</w:t>
            </w:r>
            <w:r>
              <w:rPr>
                <w:rFonts w:hint="default" w:ascii="Times New Roman" w:hAnsi="Times New Roman" w:cs="Times New Roman" w:eastAsiaTheme="minorEastAsia"/>
                <w:i w:val="0"/>
                <w:iCs w:val="0"/>
                <w:caps w:val="0"/>
                <w:color w:val="auto"/>
                <w:spacing w:val="0"/>
                <w:sz w:val="24"/>
                <w:szCs w:val="24"/>
                <w:lang w:val="en-US" w:eastAsia="zh-CN"/>
              </w:rPr>
              <w:t>，并出具电力相关部门认可的报告</w:t>
            </w:r>
            <w:r>
              <w:rPr>
                <w:rFonts w:hint="default" w:ascii="Times New Roman" w:hAnsi="Times New Roman" w:cs="Times New Roman"/>
                <w:i w:val="0"/>
                <w:iCs w:val="0"/>
                <w:caps w:val="0"/>
                <w:color w:val="auto"/>
                <w:spacing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5、用电建议：根据采购人历史用电行为特征、用电需求等特点，从行业特点、客户价值、用电需求等方面进行分析，为采购人提供用电建议。供应商应对采购人供电安全管理，加强装表接电、采集终端安装、用电检查等现场作业的安全管控提出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6、台账管理：建立设备</w:t>
            </w:r>
            <w:r>
              <w:rPr>
                <w:rFonts w:hint="default" w:ascii="Times New Roman" w:hAnsi="Times New Roman" w:cs="Times New Roman"/>
                <w:i w:val="0"/>
                <w:iCs w:val="0"/>
                <w:caps w:val="0"/>
                <w:color w:val="auto"/>
                <w:spacing w:val="0"/>
                <w:sz w:val="24"/>
                <w:szCs w:val="24"/>
                <w:lang w:val="en-US" w:eastAsia="zh-CN"/>
              </w:rPr>
              <w:t>（高低压配电房、发电机房等用电设备）</w:t>
            </w:r>
            <w:r>
              <w:rPr>
                <w:rFonts w:hint="default" w:ascii="Times New Roman" w:hAnsi="Times New Roman" w:cs="Times New Roman" w:eastAsiaTheme="minorEastAsia"/>
                <w:i w:val="0"/>
                <w:iCs w:val="0"/>
                <w:caps w:val="0"/>
                <w:color w:val="auto"/>
                <w:spacing w:val="0"/>
                <w:sz w:val="24"/>
                <w:szCs w:val="24"/>
                <w:lang w:val="en-US" w:eastAsia="zh-CN"/>
              </w:rPr>
              <w:t>管理台账；用电管理台账；户号管理台账。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7、节能降耗管理：为采购人提供用能监测，实施掌握电力系统运行状态及耗能情况，每月、每季度、每年度根据用电情况提供电能数据并出具《综合用电分析报告》。供应商根据用电状态及耗能情况提出优化用能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8、培训服务：每年对采购人维修人员进行安全培训不少于2次。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9、</w:t>
            </w:r>
            <w:r>
              <w:rPr>
                <w:rFonts w:hint="default" w:ascii="Times New Roman" w:hAnsi="Times New Roman" w:cs="Times New Roman" w:eastAsiaTheme="minorEastAsia"/>
                <w:b w:val="0"/>
                <w:bCs w:val="0"/>
                <w:i w:val="0"/>
                <w:iCs w:val="0"/>
                <w:caps w:val="0"/>
                <w:color w:val="auto"/>
                <w:spacing w:val="0"/>
                <w:sz w:val="24"/>
                <w:szCs w:val="24"/>
                <w:shd w:val="clear" w:fill="auto"/>
              </w:rPr>
              <w:t>供应商须熟知直购电政策，向采购人和电网经营企业提供与履行相关的其他信息，</w:t>
            </w:r>
            <w:r>
              <w:rPr>
                <w:rFonts w:hint="default" w:ascii="Times New Roman" w:hAnsi="Times New Roman" w:cs="Times New Roman" w:eastAsiaTheme="minorEastAsia"/>
                <w:i w:val="0"/>
                <w:iCs w:val="0"/>
                <w:caps w:val="0"/>
                <w:color w:val="auto"/>
                <w:spacing w:val="0"/>
                <w:sz w:val="24"/>
                <w:szCs w:val="24"/>
                <w:lang w:val="en-US" w:eastAsia="zh-CN"/>
              </w:rPr>
              <w:t>协助采购人申请办理直购电有关手续。如入市申请、交易主体注册、交易平台信息收录等。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10、供应商派遣电力工程师到采购人单位了解用电设备及其负荷，辅助能源管理部门做负荷及电量预测。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11、根据采购人单位作为医疗机构的特殊性质，全面开展高危及重要电安全隐患排查咨询，及提供交易规则、电价政策、电费补贴等政策咨询服务。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12、协助采购人制定设备检修计划。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pStyle w:val="33"/>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cs="Times New Roman" w:eastAsiaTheme="minorEastAsia"/>
                <w:i w:val="0"/>
                <w:iCs w:val="0"/>
                <w:caps w:val="0"/>
                <w:color w:val="auto"/>
                <w:spacing w:val="0"/>
                <w:kern w:val="2"/>
                <w:sz w:val="24"/>
                <w:szCs w:val="24"/>
                <w:lang w:val="en-US" w:eastAsia="zh-CN" w:bidi="ar-SA"/>
              </w:rPr>
            </w:pPr>
          </w:p>
        </w:tc>
        <w:tc>
          <w:tcPr>
            <w:tcW w:w="6690" w:type="dxa"/>
            <w:noWrap w:val="0"/>
            <w:vAlign w:val="center"/>
          </w:tcPr>
          <w:p>
            <w:pPr>
              <w:pStyle w:val="33"/>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kern w:val="2"/>
                <w:sz w:val="24"/>
                <w:szCs w:val="24"/>
                <w:lang w:val="en-US" w:eastAsia="zh-CN" w:bidi="ar-SA"/>
              </w:rPr>
              <w:t>13、供应商根据本项目实际情况制定项目实施方案、应急服务方案、后续服务方案，内容包含：项目实际情况；项目背景、项目现存问题分析；项目需求分析；突发事件预案；对不同类型突发情况制定不同应急处理措施的；项目实施情况跟进；根据服务期限、服务地点、服务要求制定后续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pageBreakBefore w:val="0"/>
              <w:kinsoku/>
              <w:wordWrap/>
              <w:overflowPunct/>
              <w:topLinePunct w:val="0"/>
              <w:autoSpaceDN/>
              <w:bidi w:val="0"/>
              <w:adjustRightInd/>
              <w:snapToGrid/>
              <w:spacing w:line="360" w:lineRule="auto"/>
              <w:textAlignment w:val="auto"/>
              <w:rPr>
                <w:rFonts w:hint="default" w:ascii="Times New Roman" w:hAnsi="Times New Roman" w:cs="Times New Roman" w:eastAsiaTheme="minorEastAsia"/>
                <w:i w:val="0"/>
                <w:iCs w:val="0"/>
                <w:caps w:val="0"/>
                <w:color w:val="auto"/>
                <w:spacing w:val="0"/>
                <w:kern w:val="2"/>
                <w:sz w:val="24"/>
                <w:szCs w:val="24"/>
                <w:lang w:val="en-US" w:eastAsia="zh-CN" w:bidi="ar-SA"/>
              </w:rPr>
            </w:pPr>
          </w:p>
        </w:tc>
        <w:tc>
          <w:tcPr>
            <w:tcW w:w="66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kern w:val="2"/>
                <w:sz w:val="24"/>
                <w:szCs w:val="24"/>
                <w:lang w:val="en-US" w:eastAsia="zh-CN" w:bidi="ar-SA"/>
              </w:rPr>
              <w:t>14、成交供应商须提供7*24小时技术援助电话，解答采购人在日常中遇到的问题，及时提出解决冋题的建议和操作方法。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pageBreakBefore w:val="0"/>
              <w:kinsoku/>
              <w:wordWrap/>
              <w:overflowPunct/>
              <w:topLinePunct w:val="0"/>
              <w:autoSpaceDN/>
              <w:bidi w:val="0"/>
              <w:adjustRightInd/>
              <w:snapToGrid/>
              <w:spacing w:line="360" w:lineRule="auto"/>
              <w:textAlignment w:val="auto"/>
              <w:rPr>
                <w:rFonts w:hint="default" w:ascii="Times New Roman" w:hAnsi="Times New Roman" w:cs="Times New Roman" w:eastAsiaTheme="minorEastAsia"/>
                <w:i w:val="0"/>
                <w:iCs w:val="0"/>
                <w:caps w:val="0"/>
                <w:color w:val="auto"/>
                <w:spacing w:val="0"/>
                <w:kern w:val="2"/>
                <w:sz w:val="24"/>
                <w:szCs w:val="24"/>
                <w:lang w:val="en-US" w:eastAsia="zh-CN" w:bidi="ar-SA"/>
              </w:rPr>
            </w:pPr>
          </w:p>
        </w:tc>
        <w:tc>
          <w:tcPr>
            <w:tcW w:w="66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default" w:ascii="Times New Roman" w:hAnsi="Times New Roman" w:cs="Times New Roman" w:eastAsiaTheme="minorEastAsia"/>
                <w:i w:val="0"/>
                <w:iCs w:val="0"/>
                <w:caps w:val="0"/>
                <w:color w:val="auto"/>
                <w:spacing w:val="0"/>
                <w:kern w:val="2"/>
                <w:sz w:val="24"/>
                <w:szCs w:val="24"/>
                <w:lang w:val="en-US" w:eastAsia="zh-CN" w:bidi="ar-SA"/>
              </w:rPr>
            </w:pPr>
            <w:r>
              <w:rPr>
                <w:rFonts w:hint="default" w:ascii="Times New Roman" w:hAnsi="Times New Roman" w:cs="Times New Roman" w:eastAsiaTheme="minorEastAsia"/>
                <w:i w:val="0"/>
                <w:iCs w:val="0"/>
                <w:caps w:val="0"/>
                <w:color w:val="auto"/>
                <w:spacing w:val="0"/>
                <w:sz w:val="24"/>
                <w:szCs w:val="24"/>
                <w:lang w:val="en-US" w:eastAsia="zh-CN"/>
              </w:rPr>
              <w:t>15、依据四川电力市场有关交易规则及年度指导意见计算的偏差电量考核费由供应商全额承担。</w:t>
            </w:r>
          </w:p>
        </w:tc>
      </w:tr>
    </w:tbl>
    <w:p>
      <w:pPr>
        <w:spacing w:line="360" w:lineRule="auto"/>
        <w:rPr>
          <w:rFonts w:hint="default" w:ascii="Times New Roman" w:hAnsi="Times New Roman" w:cs="Times New Roman"/>
          <w:b/>
          <w:bCs/>
          <w:sz w:val="24"/>
          <w:szCs w:val="24"/>
        </w:rPr>
      </w:pPr>
    </w:p>
    <w:p>
      <w:pPr>
        <w:spacing w:line="360" w:lineRule="auto"/>
        <w:jc w:val="left"/>
        <w:rPr>
          <w:rFonts w:hint="default" w:ascii="Times New Roman" w:hAnsi="Times New Roman" w:cs="Times New Roman"/>
          <w:b/>
          <w:bCs/>
          <w:sz w:val="24"/>
          <w:szCs w:val="24"/>
        </w:rPr>
      </w:pPr>
      <w:r>
        <w:rPr>
          <w:rFonts w:hint="eastAsia" w:ascii="Times New Roman" w:hAnsi="Times New Roman" w:cs="Times New Roman"/>
          <w:b/>
          <w:bCs/>
          <w:sz w:val="24"/>
          <w:szCs w:val="24"/>
          <w:lang w:eastAsia="zh-CN"/>
        </w:rPr>
        <w:t>四</w:t>
      </w:r>
      <w:r>
        <w:rPr>
          <w:rFonts w:hint="default" w:ascii="Times New Roman" w:hAnsi="Times New Roman" w:cs="Times New Roman"/>
          <w:b/>
          <w:bCs/>
          <w:sz w:val="24"/>
          <w:szCs w:val="24"/>
        </w:rPr>
        <w:t>、</w:t>
      </w:r>
      <w:r>
        <w:rPr>
          <w:rFonts w:hint="default" w:ascii="Times New Roman" w:hAnsi="Times New Roman" w:cs="Times New Roman"/>
          <w:b/>
          <w:bCs/>
          <w:sz w:val="24"/>
          <w:szCs w:val="24"/>
          <w:lang w:eastAsia="zh-CN"/>
        </w:rPr>
        <w:t>商务</w:t>
      </w:r>
      <w:r>
        <w:rPr>
          <w:rFonts w:hint="default" w:ascii="Times New Roman" w:hAnsi="Times New Roman" w:cs="Times New Roman"/>
          <w:b/>
          <w:bCs/>
          <w:sz w:val="24"/>
          <w:szCs w:val="24"/>
        </w:rPr>
        <w:t>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1、服务期限：2024年4月至202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rPr>
        <w:t>月。</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2、服务地点：采购单位指定地点。</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sz w:val="24"/>
          <w:szCs w:val="24"/>
        </w:rPr>
        <w:t>3、付款方式：</w:t>
      </w:r>
      <w:r>
        <w:rPr>
          <w:rFonts w:hint="default" w:ascii="Times New Roman" w:hAnsi="Times New Roman" w:cs="Times New Roman"/>
          <w:color w:val="auto"/>
          <w:sz w:val="24"/>
          <w:szCs w:val="24"/>
        </w:rPr>
        <w:t>合同履约期内，除固定水电价外的结算价格及结算方式按照相关部门政策执行。固定水电价将按照</w:t>
      </w:r>
      <w:r>
        <w:rPr>
          <w:rFonts w:hint="default" w:ascii="Times New Roman" w:hAnsi="Times New Roman" w:cs="Times New Roman"/>
          <w:color w:val="auto"/>
          <w:sz w:val="24"/>
          <w:szCs w:val="24"/>
          <w:lang w:eastAsia="zh-CN"/>
        </w:rPr>
        <w:t>响应的最终报价</w:t>
      </w:r>
      <w:r>
        <w:rPr>
          <w:rFonts w:hint="default" w:ascii="Times New Roman" w:hAnsi="Times New Roman" w:cs="Times New Roman"/>
          <w:color w:val="auto"/>
          <w:sz w:val="24"/>
          <w:szCs w:val="24"/>
        </w:rPr>
        <w:t>进行结算，作为合同履约期间，结算电价中固定水电价的结算依据。合同履约期内，结算电价由采购人直接向电网企业缴纳，供应商的固定水电价交易结算由电网企业与相应电力交易机构按相关规定另行完成。</w:t>
      </w:r>
    </w:p>
    <w:p>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4、提供参与电力市场交易的履约保证函或者履约保险等履约保障凭证</w:t>
      </w:r>
      <w:r>
        <w:rPr>
          <w:rFonts w:hint="default" w:ascii="Times New Roman" w:hAnsi="Times New Roman" w:cs="Times New Roman"/>
          <w:b/>
          <w:bCs/>
          <w:color w:val="auto"/>
          <w:sz w:val="24"/>
          <w:szCs w:val="24"/>
          <w:lang w:val="en-US" w:eastAsia="zh-CN"/>
        </w:rPr>
        <w:t>（提供相关证明材料）</w:t>
      </w:r>
      <w:r>
        <w:rPr>
          <w:rFonts w:hint="default" w:ascii="Times New Roman" w:hAnsi="Times New Roman" w:cs="Times New Roman"/>
          <w:color w:val="auto"/>
          <w:sz w:val="24"/>
          <w:szCs w:val="24"/>
          <w:lang w:val="en-US" w:eastAsia="zh-CN"/>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、报价要求：</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（1）报价方式:本项目采用单价报价方式。固定水电价最高限价为：0.2782元/千瓦时，固定水电价超过最高限价的报价无效。</w:t>
      </w:r>
    </w:p>
    <w:p>
      <w:pPr>
        <w:spacing w:line="360" w:lineRule="auto"/>
        <w:ind w:firstLine="480" w:firstLineChars="200"/>
        <w:rPr>
          <w:rFonts w:hint="eastAsia" w:ascii="Times New Roman" w:hAnsi="Times New Roman" w:cs="Times New Roman" w:eastAsiaTheme="minorEastAsia"/>
          <w:sz w:val="24"/>
          <w:szCs w:val="24"/>
          <w:lang w:eastAsia="zh-CN"/>
        </w:rPr>
      </w:pPr>
      <w:r>
        <w:rPr>
          <w:rFonts w:hint="default" w:ascii="Times New Roman" w:hAnsi="Times New Roman" w:cs="Times New Roman"/>
          <w:color w:val="auto"/>
          <w:sz w:val="24"/>
          <w:szCs w:val="24"/>
        </w:rPr>
        <w:t>（2）本项目预算金额包含：（固定水电价+电费单价中除固定水电价的组成部分）*实际使用电量，以及供应商工作人员的工勤费用以及合同实施过</w:t>
      </w:r>
      <w:r>
        <w:rPr>
          <w:rFonts w:hint="default" w:ascii="Times New Roman" w:hAnsi="Times New Roman" w:cs="Times New Roman"/>
          <w:sz w:val="24"/>
          <w:szCs w:val="24"/>
        </w:rPr>
        <w:t>程中的可预见及不可预见费用，采购人不再另行支付</w:t>
      </w:r>
      <w:r>
        <w:rPr>
          <w:rFonts w:hint="eastAsia" w:ascii="Times New Roman" w:hAnsi="Times New Roman" w:cs="Times New Roman"/>
          <w:sz w:val="24"/>
          <w:szCs w:val="24"/>
          <w:lang w:eastAsia="zh-CN"/>
        </w:rPr>
        <w:t>。</w:t>
      </w:r>
    </w:p>
    <w:p>
      <w:pPr>
        <w:spacing w:line="360" w:lineRule="auto"/>
        <w:rPr>
          <w:rFonts w:hint="default" w:ascii="Times New Roman" w:hAnsi="Times New Roman" w:cs="Times New Roman"/>
          <w:b/>
          <w:kern w:val="0"/>
          <w:sz w:val="24"/>
          <w:lang w:val="zh-CN"/>
        </w:rPr>
      </w:pPr>
      <w:bookmarkStart w:id="0" w:name="_Toc56091117"/>
      <w:r>
        <w:rPr>
          <w:rFonts w:hint="eastAsia" w:ascii="Times New Roman" w:hAnsi="Times New Roman" w:cs="Times New Roman"/>
          <w:b/>
          <w:kern w:val="0"/>
          <w:sz w:val="24"/>
          <w:lang w:val="zh-CN"/>
        </w:rPr>
        <w:t>五</w:t>
      </w:r>
      <w:r>
        <w:rPr>
          <w:rFonts w:hint="default" w:ascii="Times New Roman" w:hAnsi="Times New Roman" w:cs="Times New Roman"/>
          <w:b/>
          <w:kern w:val="0"/>
          <w:sz w:val="24"/>
          <w:lang w:val="zh-CN"/>
        </w:rPr>
        <w:t>、供应商资格要求及证明材料</w:t>
      </w:r>
      <w:bookmarkEnd w:id="0"/>
    </w:p>
    <w:p>
      <w:pPr>
        <w:spacing w:line="360" w:lineRule="auto"/>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（一）资格要求相关证明材料：</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1.具有独立承担民事责任的能力（提供复印件）；</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（1）供应商若为企业法人：提供“统一社会信用代码营业执照”；</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（2）供应商若为事业法人：提供“统一社会信用代码法人登记证书”；</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（3）供应商若为其他组织：提供“对应主管部门颁发的准许执业证明文件或营业执照”；</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（4）供应商若为自然人：提供“身份证明材料”。</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2.具备良好商业信誉的证明材料（提供承诺函原件）；</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3.具备健全的财务会计制度的证明材料（提供承诺函原件）；</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4.具有依法缴纳税收和社会保障资金的良好记录（提供承诺函原件）；</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5.具备履行合同所必需的设备和专业技术能力的证明材料（提供承诺函原件）；</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6.参加政府采购活动前3年内在经营活动中没有重大违法记录（提供承诺函原件）；</w:t>
      </w:r>
    </w:p>
    <w:p>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7.具备法律、行政法规规定的其他条件的证明材料（提供承诺函原件）；</w:t>
      </w:r>
    </w:p>
    <w:p>
      <w:pPr>
        <w:spacing w:line="360" w:lineRule="auto"/>
        <w:ind w:firstLine="470" w:firstLineChars="196"/>
        <w:rPr>
          <w:rFonts w:hint="default" w:ascii="Times New Roman" w:hAnsi="Times New Roman" w:cs="Times New Roman" w:eastAsiaTheme="minorEastAsia"/>
          <w:kern w:val="0"/>
          <w:sz w:val="24"/>
          <w:lang w:val="zh-CN" w:eastAsia="zh-CN"/>
        </w:rPr>
      </w:pPr>
      <w:r>
        <w:rPr>
          <w:rFonts w:hint="default" w:ascii="Times New Roman" w:hAnsi="Times New Roman" w:cs="Times New Roman"/>
          <w:kern w:val="0"/>
          <w:sz w:val="24"/>
          <w:lang w:val="zh-CN"/>
        </w:rPr>
        <w:t>8.根据采购项目提出的特殊条件：</w:t>
      </w:r>
      <w:r>
        <w:rPr>
          <w:rFonts w:hint="default" w:ascii="Times New Roman" w:hAnsi="Times New Roman" w:cs="Times New Roman"/>
          <w:kern w:val="0"/>
          <w:sz w:val="24"/>
        </w:rPr>
        <w:t>四川电力交易中心网站（https://pmos.sc.sgcc.com.cn）市场公示的市场成员中</w:t>
      </w:r>
      <w:r>
        <w:rPr>
          <w:rFonts w:hint="default" w:ascii="Times New Roman" w:hAnsi="Times New Roman" w:cs="Times New Roman"/>
          <w:b/>
          <w:bCs/>
          <w:kern w:val="0"/>
          <w:sz w:val="24"/>
        </w:rPr>
        <w:t>（提供相关截图证明材料）</w:t>
      </w:r>
      <w:r>
        <w:rPr>
          <w:rFonts w:hint="default" w:ascii="Times New Roman" w:hAnsi="Times New Roman" w:cs="Times New Roman"/>
          <w:b w:val="0"/>
          <w:bCs w:val="0"/>
          <w:kern w:val="0"/>
          <w:sz w:val="24"/>
          <w:lang w:eastAsia="zh-CN"/>
        </w:rPr>
        <w:t>。</w:t>
      </w:r>
    </w:p>
    <w:p>
      <w:pPr>
        <w:spacing w:line="360" w:lineRule="auto"/>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（二）其他类似效力要求相关证明材料：</w:t>
      </w:r>
    </w:p>
    <w:p>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1.法定代表人/单位负责人身份证明书原件及身份证明材料复印件；</w:t>
      </w:r>
    </w:p>
    <w:p>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2.法定代表人/单位负责人授权书原件及被授权人身份证明材料复印件。</w:t>
      </w:r>
    </w:p>
    <w:p>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（注：由法定代表人/单位负责人本人参与的，可不提供法定代表人/单位负责人授权书）</w:t>
      </w:r>
    </w:p>
    <w:p>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注：以上要求的资料均须加盖供应商单位的公章（鲜章）。</w:t>
      </w:r>
    </w:p>
    <w:p>
      <w:pPr>
        <w:spacing w:line="360" w:lineRule="auto"/>
        <w:rPr>
          <w:rFonts w:hint="default" w:ascii="Times New Roman" w:hAnsi="Times New Roman" w:cs="Times New Roman"/>
          <w:b/>
          <w:kern w:val="0"/>
          <w:sz w:val="24"/>
        </w:rPr>
      </w:pPr>
      <w:r>
        <w:rPr>
          <w:rFonts w:hint="eastAsia" w:ascii="Times New Roman" w:hAnsi="Times New Roman" w:cs="Times New Roman"/>
          <w:b/>
          <w:bCs/>
          <w:kern w:val="0"/>
          <w:sz w:val="24"/>
          <w:lang w:eastAsia="zh-CN"/>
        </w:rPr>
        <w:t>六</w:t>
      </w:r>
      <w:r>
        <w:rPr>
          <w:rFonts w:hint="default" w:ascii="Times New Roman" w:hAnsi="Times New Roman" w:cs="Times New Roman"/>
          <w:b/>
          <w:bCs/>
          <w:kern w:val="0"/>
          <w:sz w:val="24"/>
        </w:rPr>
        <w:t>、响应文件要求</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bCs/>
          <w:kern w:val="0"/>
          <w:sz w:val="24"/>
        </w:rPr>
        <w:t>1.数量：正本一份。</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2.响应文件签署：应根据采购文件的要求制作，签署、盖章和内容应完整。</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3.响应文件制作：统一用汉语编制、A4幅面纸印制，采用</w:t>
      </w:r>
      <w:r>
        <w:rPr>
          <w:rFonts w:hint="default" w:ascii="Times New Roman" w:hAnsi="Times New Roman" w:cs="Times New Roman"/>
          <w:b/>
          <w:bCs/>
          <w:kern w:val="0"/>
          <w:sz w:val="24"/>
        </w:rPr>
        <w:t>非活页方式</w:t>
      </w:r>
      <w:r>
        <w:rPr>
          <w:rFonts w:hint="default" w:ascii="Times New Roman" w:hAnsi="Times New Roman" w:cs="Times New Roman"/>
          <w:kern w:val="0"/>
          <w:sz w:val="24"/>
        </w:rPr>
        <w:t>装订后密封，并在封面处标注本项目名称、申请人名称、联系人、联系电话。</w:t>
      </w:r>
    </w:p>
    <w:p>
      <w:pPr>
        <w:spacing w:line="360" w:lineRule="auto"/>
        <w:rPr>
          <w:rFonts w:hint="default" w:ascii="Times New Roman" w:hAnsi="Times New Roman" w:cs="Times New Roman"/>
          <w:b/>
          <w:kern w:val="0"/>
          <w:sz w:val="24"/>
        </w:rPr>
      </w:pPr>
      <w:r>
        <w:rPr>
          <w:rFonts w:hint="eastAsia" w:ascii="Times New Roman" w:hAnsi="Times New Roman" w:cs="Times New Roman"/>
          <w:b/>
          <w:kern w:val="0"/>
          <w:sz w:val="24"/>
          <w:lang w:val="zh-CN"/>
        </w:rPr>
        <w:t>七</w:t>
      </w:r>
      <w:r>
        <w:rPr>
          <w:rFonts w:hint="default" w:ascii="Times New Roman" w:hAnsi="Times New Roman" w:cs="Times New Roman"/>
          <w:b/>
          <w:kern w:val="0"/>
          <w:sz w:val="24"/>
          <w:lang w:val="zh-CN"/>
        </w:rPr>
        <w:t>、</w:t>
      </w:r>
      <w:r>
        <w:rPr>
          <w:rFonts w:hint="default" w:ascii="Times New Roman" w:hAnsi="Times New Roman" w:cs="Times New Roman"/>
          <w:b/>
          <w:bCs/>
          <w:kern w:val="0"/>
          <w:sz w:val="24"/>
        </w:rPr>
        <w:t>响应文件的递交</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color w:val="auto"/>
          <w:kern w:val="0"/>
          <w:sz w:val="24"/>
        </w:rPr>
        <w:t>1.递交响应文件截止时间：202</w:t>
      </w:r>
      <w:r>
        <w:rPr>
          <w:rFonts w:hint="default" w:ascii="Times New Roman" w:hAnsi="Times New Roman" w:cs="Times New Roman"/>
          <w:color w:val="auto"/>
          <w:kern w:val="0"/>
          <w:sz w:val="24"/>
          <w:lang w:val="en-US" w:eastAsia="zh-CN"/>
        </w:rPr>
        <w:t>4</w:t>
      </w:r>
      <w:r>
        <w:rPr>
          <w:rFonts w:hint="default" w:ascii="Times New Roman" w:hAnsi="Times New Roman" w:cs="Times New Roman"/>
          <w:color w:val="auto"/>
          <w:kern w:val="0"/>
          <w:sz w:val="24"/>
        </w:rPr>
        <w:t>年</w:t>
      </w:r>
      <w:r>
        <w:rPr>
          <w:rFonts w:hint="eastAsia" w:ascii="Times New Roman" w:hAnsi="Times New Roman" w:cs="Times New Roman"/>
          <w:color w:val="auto"/>
          <w:kern w:val="0"/>
          <w:sz w:val="24"/>
          <w:lang w:val="en-US" w:eastAsia="zh-CN"/>
        </w:rPr>
        <w:t>4</w:t>
      </w:r>
      <w:r>
        <w:rPr>
          <w:rFonts w:hint="default" w:ascii="Times New Roman" w:hAnsi="Times New Roman" w:cs="Times New Roman"/>
          <w:color w:val="auto"/>
          <w:kern w:val="0"/>
          <w:sz w:val="24"/>
        </w:rPr>
        <w:t>月</w:t>
      </w:r>
      <w:r>
        <w:rPr>
          <w:rFonts w:hint="eastAsia" w:ascii="Times New Roman" w:hAnsi="Times New Roman" w:cs="Times New Roman"/>
          <w:color w:val="auto"/>
          <w:kern w:val="0"/>
          <w:sz w:val="24"/>
          <w:lang w:val="en-US" w:eastAsia="zh-CN"/>
        </w:rPr>
        <w:t>23</w:t>
      </w:r>
      <w:r>
        <w:rPr>
          <w:rFonts w:hint="default" w:ascii="Times New Roman" w:hAnsi="Times New Roman" w:cs="Times New Roman"/>
          <w:color w:val="auto"/>
          <w:kern w:val="0"/>
          <w:sz w:val="24"/>
        </w:rPr>
        <w:t>日1</w:t>
      </w:r>
      <w:r>
        <w:rPr>
          <w:rFonts w:hint="default" w:ascii="Times New Roman" w:hAnsi="Times New Roman" w:cs="Times New Roman"/>
          <w:color w:val="auto"/>
          <w:kern w:val="0"/>
          <w:sz w:val="24"/>
          <w:lang w:val="en-US" w:eastAsia="zh-CN"/>
        </w:rPr>
        <w:t>7</w:t>
      </w:r>
      <w:r>
        <w:rPr>
          <w:rFonts w:hint="default" w:ascii="Times New Roman" w:hAnsi="Times New Roman" w:cs="Times New Roman"/>
          <w:color w:val="auto"/>
          <w:kern w:val="0"/>
          <w:sz w:val="24"/>
        </w:rPr>
        <w:t>:00（北京时间）。</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2.递交响应文件地点：资阳市雁江区人民医院采购办（住院部12楼）。</w:t>
      </w:r>
    </w:p>
    <w:p>
      <w:pPr>
        <w:spacing w:line="360" w:lineRule="auto"/>
        <w:ind w:firstLine="480" w:firstLineChars="200"/>
        <w:rPr>
          <w:rStyle w:val="17"/>
          <w:rFonts w:hint="default" w:ascii="Times New Roman" w:hAnsi="Times New Roman" w:cs="Times New Roman"/>
          <w:bCs/>
          <w:color w:val="FF0000"/>
          <w:szCs w:val="22"/>
          <w:shd w:val="clear" w:color="auto" w:fill="FFFFFF"/>
        </w:rPr>
      </w:pPr>
      <w:r>
        <w:rPr>
          <w:rFonts w:hint="default" w:ascii="Times New Roman" w:hAnsi="Times New Roman" w:cs="Times New Roman"/>
          <w:kern w:val="0"/>
          <w:sz w:val="24"/>
        </w:rPr>
        <w:t>3.</w:t>
      </w:r>
      <w:r>
        <w:rPr>
          <w:rFonts w:hint="default" w:ascii="Times New Roman" w:hAnsi="Times New Roman" w:cs="Times New Roman"/>
          <w:color w:val="auto"/>
          <w:kern w:val="0"/>
          <w:sz w:val="24"/>
        </w:rPr>
        <w:t>逾期</w:t>
      </w:r>
      <w:r>
        <w:rPr>
          <w:rFonts w:hint="default" w:ascii="Times New Roman" w:hAnsi="Times New Roman" w:cs="Times New Roman"/>
          <w:b/>
          <w:bCs/>
          <w:color w:val="auto"/>
          <w:kern w:val="0"/>
          <w:sz w:val="24"/>
        </w:rPr>
        <w:t>送达</w:t>
      </w:r>
      <w:r>
        <w:rPr>
          <w:rFonts w:hint="default" w:ascii="Times New Roman" w:hAnsi="Times New Roman" w:cs="Times New Roman"/>
          <w:color w:val="auto"/>
          <w:kern w:val="0"/>
          <w:sz w:val="24"/>
        </w:rPr>
        <w:t>或者未</w:t>
      </w:r>
      <w:r>
        <w:rPr>
          <w:rFonts w:hint="default" w:ascii="Times New Roman" w:hAnsi="Times New Roman" w:cs="Times New Roman"/>
          <w:b/>
          <w:bCs/>
          <w:color w:val="auto"/>
          <w:kern w:val="0"/>
          <w:sz w:val="24"/>
        </w:rPr>
        <w:t>送达</w:t>
      </w:r>
      <w:r>
        <w:rPr>
          <w:rFonts w:hint="default" w:ascii="Times New Roman" w:hAnsi="Times New Roman" w:cs="Times New Roman"/>
          <w:color w:val="auto"/>
          <w:kern w:val="0"/>
          <w:sz w:val="24"/>
        </w:rPr>
        <w:t>指定地点的响应文件，采购人不予受理</w:t>
      </w:r>
      <w:r>
        <w:rPr>
          <w:rFonts w:hint="default" w:ascii="Times New Roman" w:hAnsi="Times New Roman" w:cs="Times New Roman"/>
          <w:kern w:val="0"/>
          <w:sz w:val="24"/>
        </w:rPr>
        <w:t>。</w:t>
      </w:r>
    </w:p>
    <w:p>
      <w:pPr>
        <w:spacing w:line="360" w:lineRule="auto"/>
        <w:rPr>
          <w:rFonts w:hint="default" w:ascii="Times New Roman" w:hAnsi="Times New Roman" w:cs="Times New Roman"/>
          <w:b/>
          <w:kern w:val="0"/>
          <w:sz w:val="24"/>
        </w:rPr>
      </w:pPr>
      <w:r>
        <w:rPr>
          <w:rFonts w:hint="eastAsia" w:ascii="Times New Roman" w:hAnsi="Times New Roman" w:cs="Times New Roman"/>
          <w:b/>
          <w:kern w:val="0"/>
          <w:sz w:val="24"/>
          <w:lang w:eastAsia="zh-CN"/>
        </w:rPr>
        <w:t>八</w:t>
      </w:r>
      <w:r>
        <w:rPr>
          <w:rFonts w:hint="default" w:ascii="Times New Roman" w:hAnsi="Times New Roman" w:cs="Times New Roman"/>
          <w:b/>
          <w:kern w:val="0"/>
          <w:sz w:val="24"/>
        </w:rPr>
        <w:t>、联系方式</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采购人：资阳市雁江区人民医院</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采购人地址：资阳市雁江区城东新区蜀乡大道669号</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联系</w:t>
      </w:r>
      <w:r>
        <w:rPr>
          <w:rFonts w:hint="default" w:ascii="Times New Roman" w:hAnsi="Times New Roman" w:cs="Times New Roman"/>
          <w:kern w:val="0"/>
          <w:sz w:val="24"/>
          <w:lang w:eastAsia="zh-CN"/>
        </w:rPr>
        <w:t>方式：采购办</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028-26346672</w:t>
      </w:r>
    </w:p>
    <w:p>
      <w:pPr>
        <w:spacing w:line="360" w:lineRule="auto"/>
        <w:rPr>
          <w:rFonts w:hint="default" w:ascii="Times New Roman" w:hAnsi="Times New Roman" w:cs="Times New Roman"/>
          <w:b/>
          <w:kern w:val="0"/>
          <w:sz w:val="24"/>
          <w:lang w:val="zh-CN"/>
        </w:rPr>
      </w:pPr>
      <w:r>
        <w:rPr>
          <w:rFonts w:hint="eastAsia" w:ascii="Times New Roman" w:hAnsi="Times New Roman" w:cs="Times New Roman"/>
          <w:b/>
          <w:kern w:val="0"/>
          <w:sz w:val="24"/>
          <w:lang w:val="zh-CN"/>
        </w:rPr>
        <w:t>九</w:t>
      </w:r>
      <w:r>
        <w:rPr>
          <w:rFonts w:hint="default" w:ascii="Times New Roman" w:hAnsi="Times New Roman" w:cs="Times New Roman"/>
          <w:b/>
          <w:kern w:val="0"/>
          <w:sz w:val="24"/>
          <w:lang w:val="zh-CN"/>
        </w:rPr>
        <w:t>、</w:t>
      </w:r>
      <w:r>
        <w:rPr>
          <w:rFonts w:hint="default" w:ascii="Times New Roman" w:hAnsi="Times New Roman" w:cs="Times New Roman"/>
          <w:b/>
          <w:kern w:val="0"/>
          <w:sz w:val="24"/>
        </w:rPr>
        <w:t>询价采购报价书</w:t>
      </w:r>
      <w:r>
        <w:rPr>
          <w:rFonts w:hint="default" w:ascii="Times New Roman" w:hAnsi="Times New Roman" w:cs="Times New Roman"/>
          <w:b/>
          <w:kern w:val="0"/>
          <w:sz w:val="24"/>
          <w:lang w:val="zh-CN"/>
        </w:rPr>
        <w:t>格式</w:t>
      </w:r>
    </w:p>
    <w:p>
      <w:pPr>
        <w:spacing w:line="360" w:lineRule="auto"/>
        <w:jc w:val="center"/>
        <w:rPr>
          <w:rFonts w:hint="default" w:ascii="Times New Roman" w:hAnsi="Times New Roman" w:cs="Times New Roman"/>
          <w:kern w:val="0"/>
          <w:sz w:val="24"/>
          <w:lang w:val="zh-CN"/>
        </w:rPr>
      </w:pPr>
      <w:r>
        <w:rPr>
          <w:rFonts w:hint="default" w:ascii="Times New Roman" w:hAnsi="Times New Roman" w:cs="Times New Roman"/>
          <w:kern w:val="0"/>
          <w:sz w:val="24"/>
          <w:lang w:val="zh-CN"/>
        </w:rPr>
        <w:t>询价采购报价书（模板）</w:t>
      </w:r>
    </w:p>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资阳市雁江区人民医院：</w:t>
      </w:r>
    </w:p>
    <w:p>
      <w:pPr>
        <w:spacing w:line="360" w:lineRule="auto"/>
        <w:ind w:firstLine="540"/>
        <w:rPr>
          <w:rFonts w:hint="default" w:ascii="Times New Roman" w:hAnsi="Times New Roman" w:cs="Times New Roman"/>
          <w:kern w:val="0"/>
          <w:sz w:val="24"/>
          <w:lang w:val="zh-CN"/>
        </w:rPr>
      </w:pPr>
      <w:r>
        <w:rPr>
          <w:rFonts w:hint="default" w:ascii="Times New Roman" w:hAnsi="Times New Roman" w:cs="Times New Roman"/>
          <w:kern w:val="0"/>
          <w:sz w:val="24"/>
          <w:lang w:val="zh-CN"/>
        </w:rPr>
        <w:t>在认真阅读采购需求，对贵院的需求充分了解后，我单位（公司）现将有关情况回复如下：</w:t>
      </w:r>
    </w:p>
    <w:p>
      <w:pPr>
        <w:spacing w:line="360" w:lineRule="auto"/>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一、报价（金额单位：元）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565"/>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99" w:type="dxa"/>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项目名称</w:t>
            </w:r>
          </w:p>
        </w:tc>
        <w:tc>
          <w:tcPr>
            <w:tcW w:w="2565" w:type="dxa"/>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最高限价</w:t>
            </w:r>
          </w:p>
        </w:tc>
        <w:tc>
          <w:tcPr>
            <w:tcW w:w="2160" w:type="dxa"/>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报价价格</w:t>
            </w:r>
          </w:p>
        </w:tc>
        <w:tc>
          <w:tcPr>
            <w:tcW w:w="1785" w:type="dxa"/>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0"/>
                <w:sz w:val="24"/>
                <w:szCs w:val="24"/>
                <w:vertAlign w:val="baseline"/>
                <w:lang w:val="en-US" w:eastAsia="zh-CN"/>
              </w:rPr>
            </w:pPr>
            <w:r>
              <w:rPr>
                <w:rFonts w:hint="default" w:ascii="Times New Roman" w:hAnsi="Times New Roman" w:cs="Times New Roman" w:eastAsiaTheme="minorEastAsia"/>
                <w:kern w:val="0"/>
                <w:sz w:val="24"/>
                <w:szCs w:val="24"/>
                <w:vertAlign w:val="baseline"/>
                <w:lang w:val="en-US" w:eastAsia="zh-CN"/>
              </w:rPr>
              <w:t>直购电采购项目</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0"/>
                <w:sz w:val="24"/>
                <w:szCs w:val="24"/>
                <w:vertAlign w:val="baseline"/>
                <w:lang w:val="en-US" w:eastAsia="zh-CN"/>
              </w:rPr>
            </w:pPr>
            <w:r>
              <w:rPr>
                <w:rFonts w:hint="default" w:ascii="Times New Roman" w:hAnsi="Times New Roman" w:cs="Times New Roman" w:eastAsiaTheme="minorEastAsia"/>
                <w:kern w:val="0"/>
                <w:sz w:val="24"/>
                <w:szCs w:val="24"/>
                <w:vertAlign w:val="baseline"/>
                <w:lang w:val="en-US" w:eastAsia="zh-CN"/>
              </w:rPr>
              <w:t>0.2782元/千瓦时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kern w:val="0"/>
                <w:sz w:val="24"/>
                <w:szCs w:val="24"/>
                <w:vertAlign w:val="baseline"/>
                <w:lang w:val="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kern w:val="0"/>
                <w:sz w:val="24"/>
                <w:szCs w:val="24"/>
                <w:vertAlign w:val="baseline"/>
                <w:lang w:val="zh-CN"/>
              </w:rPr>
            </w:pPr>
          </w:p>
        </w:tc>
      </w:tr>
    </w:tbl>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联系电话：</w:t>
      </w:r>
    </w:p>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联 系 人：</w:t>
      </w:r>
    </w:p>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通讯地址：</w:t>
      </w:r>
    </w:p>
    <w:p>
      <w:pPr>
        <w:spacing w:line="360" w:lineRule="auto"/>
        <w:ind w:firstLine="4080" w:firstLineChars="1700"/>
        <w:rPr>
          <w:rFonts w:hint="default" w:ascii="Times New Roman" w:hAnsi="Times New Roman" w:cs="Times New Roman"/>
          <w:kern w:val="0"/>
          <w:sz w:val="24"/>
          <w:lang w:val="zh-CN"/>
        </w:rPr>
      </w:pPr>
      <w:r>
        <w:rPr>
          <w:rFonts w:hint="default" w:ascii="Times New Roman" w:hAnsi="Times New Roman" w:cs="Times New Roman"/>
          <w:kern w:val="0"/>
          <w:sz w:val="24"/>
          <w:lang w:val="zh-CN"/>
        </w:rPr>
        <w:t>投标人名称（盖章）：</w:t>
      </w:r>
    </w:p>
    <w:p>
      <w:pPr>
        <w:spacing w:line="360" w:lineRule="auto"/>
        <w:ind w:firstLine="4080" w:firstLineChars="1700"/>
        <w:rPr>
          <w:rFonts w:hint="default" w:ascii="Times New Roman" w:hAnsi="Times New Roman" w:cs="Times New Roman"/>
          <w:kern w:val="0"/>
          <w:sz w:val="24"/>
          <w:lang w:val="zh-CN"/>
        </w:rPr>
      </w:pPr>
      <w:r>
        <w:rPr>
          <w:rFonts w:hint="default" w:ascii="Times New Roman" w:hAnsi="Times New Roman" w:cs="Times New Roman"/>
          <w:kern w:val="0"/>
          <w:sz w:val="24"/>
          <w:lang w:val="zh-CN"/>
        </w:rPr>
        <w:t>法定代表人或授权代表：</w:t>
      </w:r>
    </w:p>
    <w:p>
      <w:pPr>
        <w:spacing w:line="360" w:lineRule="auto"/>
        <w:rPr>
          <w:rFonts w:hint="eastAsia" w:cs="宋体-18030" w:asciiTheme="minorEastAsia" w:hAnsiTheme="minorEastAsia"/>
          <w:kern w:val="0"/>
          <w:sz w:val="24"/>
          <w:lang w:val="zh-CN"/>
        </w:rPr>
        <w:sectPr>
          <w:pgSz w:w="11906" w:h="16838"/>
          <w:pgMar w:top="1440" w:right="1800" w:bottom="1440" w:left="1800" w:header="851" w:footer="992" w:gutter="0"/>
          <w:cols w:space="425" w:num="1"/>
          <w:docGrid w:type="lines" w:linePitch="312" w:charSpace="0"/>
        </w:sect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黑体简体" w:hAnsi="方正黑体简体" w:eastAsia="方正黑体简体" w:cs="方正黑体简体"/>
          <w:color w:val="auto"/>
          <w:sz w:val="32"/>
          <w:szCs w:val="32"/>
          <w:lang w:val="zh-CN"/>
        </w:rPr>
      </w:pPr>
      <w:r>
        <w:rPr>
          <w:rFonts w:hint="eastAsia" w:ascii="方正黑体简体" w:hAnsi="方正黑体简体" w:eastAsia="方正黑体简体" w:cs="方正黑体简体"/>
          <w:color w:val="auto"/>
          <w:sz w:val="32"/>
          <w:szCs w:val="32"/>
          <w:lang w:val="zh-CN"/>
        </w:rPr>
        <w:t>附件：</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color w:val="auto"/>
          <w:lang w:val="zh-CN"/>
        </w:rPr>
      </w:pPr>
      <w:r>
        <w:rPr>
          <w:rFonts w:hint="eastAsia" w:ascii="方正小标宋简体" w:hAnsi="方正小标宋简体" w:eastAsia="方正小标宋简体" w:cs="方正小标宋简体"/>
          <w:color w:val="auto"/>
          <w:sz w:val="44"/>
          <w:szCs w:val="44"/>
          <w:lang w:val="zh-CN"/>
        </w:rPr>
        <w:t>配电房维保内容清单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644"/>
        <w:gridCol w:w="1377"/>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项目名称</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单位</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工程数量</w:t>
            </w:r>
          </w:p>
        </w:tc>
        <w:tc>
          <w:tcPr>
            <w:tcW w:w="377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干式电力变压器</w:t>
            </w:r>
            <w:r>
              <w:rPr>
                <w:rFonts w:hint="eastAsia" w:asciiTheme="minorEastAsia" w:hAnsiTheme="minorEastAsia" w:eastAsiaTheme="minorEastAsia" w:cstheme="minorEastAsia"/>
                <w:sz w:val="21"/>
                <w:szCs w:val="21"/>
                <w:vertAlign w:val="baseline"/>
                <w:lang w:val="en-US" w:eastAsia="zh-CN"/>
              </w:rPr>
              <w:t>1</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台</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名称：电力变压器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2.</w:t>
            </w:r>
            <w:r>
              <w:rPr>
                <w:rFonts w:hint="eastAsia" w:asciiTheme="minorEastAsia" w:hAnsiTheme="minorEastAsia" w:eastAsiaTheme="minorEastAsia" w:cstheme="minorEastAsia"/>
                <w:sz w:val="21"/>
                <w:szCs w:val="21"/>
                <w:vertAlign w:val="baseline"/>
                <w:lang w:val="en-US" w:eastAsia="zh-CN"/>
              </w:rPr>
              <w:t>容量：1250kVA</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3.</w:t>
            </w:r>
            <w:r>
              <w:rPr>
                <w:rFonts w:hint="eastAsia" w:asciiTheme="minorEastAsia" w:hAnsiTheme="minorEastAsia" w:eastAsiaTheme="minorEastAsia" w:cstheme="minorEastAsia"/>
                <w:sz w:val="21"/>
                <w:szCs w:val="21"/>
                <w:vertAlign w:val="baseline"/>
                <w:lang w:val="en-US" w:eastAsia="zh-CN"/>
              </w:rPr>
              <w:t>电压等级：10kV</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（1）绝缘电阻测试；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（2）吸收比测试；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（3）直流电阻测试；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（4）交流耐压测试；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（5）电压比测试；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（6）风机温控器的测试、各个节</w:t>
            </w:r>
            <w:r>
              <w:rPr>
                <w:rFonts w:hint="eastAsia" w:asciiTheme="minorEastAsia" w:hAnsiTheme="minorEastAsia" w:cstheme="minorEastAsia"/>
                <w:sz w:val="21"/>
                <w:szCs w:val="21"/>
                <w:vertAlign w:val="baseline"/>
                <w:lang w:val="en-US" w:eastAsia="zh-CN"/>
              </w:rPr>
              <w:t>点螺栓</w:t>
            </w:r>
            <w:r>
              <w:rPr>
                <w:rFonts w:hint="eastAsia" w:asciiTheme="minorEastAsia" w:hAnsiTheme="minorEastAsia" w:eastAsiaTheme="minorEastAsia" w:cstheme="minorEastAsia"/>
                <w:sz w:val="21"/>
                <w:szCs w:val="21"/>
                <w:vertAlign w:val="baseline"/>
                <w:lang w:val="en-US" w:eastAsia="zh-CN"/>
              </w:rPr>
              <w:t>紧固除尘。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干式电力变压器</w:t>
            </w:r>
            <w:r>
              <w:rPr>
                <w:rFonts w:hint="eastAsia" w:asciiTheme="minorEastAsia" w:hAnsiTheme="minorEastAsia" w:eastAsiaTheme="minorEastAsia" w:cstheme="minorEastAsia"/>
                <w:sz w:val="21"/>
                <w:szCs w:val="21"/>
                <w:vertAlign w:val="baseline"/>
                <w:lang w:val="en-US" w:eastAsia="zh-CN"/>
              </w:rPr>
              <w:t>2</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台</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名称：电力变压器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2.</w:t>
            </w:r>
            <w:r>
              <w:rPr>
                <w:rFonts w:hint="eastAsia" w:asciiTheme="minorEastAsia" w:hAnsiTheme="minorEastAsia" w:eastAsiaTheme="minorEastAsia" w:cstheme="minorEastAsia"/>
                <w:sz w:val="21"/>
                <w:szCs w:val="21"/>
                <w:vertAlign w:val="baseline"/>
                <w:lang w:val="en-US" w:eastAsia="zh-CN"/>
              </w:rPr>
              <w:t>容量：1600kVA</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3.</w:t>
            </w:r>
            <w:r>
              <w:rPr>
                <w:rFonts w:hint="eastAsia" w:asciiTheme="minorEastAsia" w:hAnsiTheme="minorEastAsia" w:eastAsiaTheme="minorEastAsia" w:cstheme="minorEastAsia"/>
                <w:sz w:val="21"/>
                <w:szCs w:val="21"/>
                <w:vertAlign w:val="baseline"/>
                <w:lang w:val="en-US" w:eastAsia="zh-CN"/>
              </w:rPr>
              <w:t>电压等级：10kV</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绝缘电阻测试；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（2）吸收比测试；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（3）直流电阻测试；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（4）交流耐压测试；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（5）电压比测试；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（6）风机温控器的测试、各个节</w:t>
            </w:r>
            <w:r>
              <w:rPr>
                <w:rFonts w:hint="eastAsia" w:asciiTheme="minorEastAsia" w:hAnsiTheme="minorEastAsia" w:cstheme="minorEastAsia"/>
                <w:sz w:val="21"/>
                <w:szCs w:val="21"/>
                <w:vertAlign w:val="baseline"/>
                <w:lang w:val="en-US" w:eastAsia="zh-CN"/>
              </w:rPr>
              <w:t>点螺栓</w:t>
            </w:r>
            <w:r>
              <w:rPr>
                <w:rFonts w:hint="eastAsia" w:asciiTheme="minorEastAsia" w:hAnsiTheme="minorEastAsia" w:eastAsiaTheme="minorEastAsia" w:cstheme="minorEastAsia"/>
                <w:sz w:val="21"/>
                <w:szCs w:val="21"/>
                <w:vertAlign w:val="baseline"/>
                <w:lang w:val="en-US" w:eastAsia="zh-CN"/>
              </w:rPr>
              <w:t>紧固除尘。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高压开关柜</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面</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名称:高压开关柜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(1)绝缘电阻测试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(2)回路电阻测试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(3)交流耐压测试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(4)五防性</w:t>
            </w:r>
            <w:r>
              <w:rPr>
                <w:rFonts w:hint="eastAsia" w:asciiTheme="minorEastAsia" w:hAnsiTheme="minorEastAsia" w:eastAsiaTheme="minorEastAsia" w:cstheme="minorEastAsia"/>
                <w:sz w:val="21"/>
                <w:szCs w:val="21"/>
                <w:lang w:eastAsia="zh-CN"/>
              </w:rPr>
              <w:t>能检查；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）辅助回路和控制回路检查；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）接地刀闸机构检查；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）避雷器</w:t>
            </w:r>
            <w:r>
              <w:rPr>
                <w:rFonts w:hint="eastAsia" w:asciiTheme="minorEastAsia" w:hAnsiTheme="minorEastAsia" w:eastAsiaTheme="minorEastAsia" w:cstheme="minorEastAsia"/>
                <w:sz w:val="21"/>
                <w:szCs w:val="21"/>
                <w:lang w:val="en-US" w:eastAsia="zh-CN"/>
              </w:rPr>
              <w:t>1mA电流时0.75U泄漏电流测试。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继电保护装置</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套</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名称:继电保护装置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2.类型:线路保护,变压器保护</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保护模拟测试及带开关整体测试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2)定值校验、二次回路绝缘测试。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高压柜母排</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回</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eastAsia="zh-CN"/>
              </w:rPr>
              <w:t>名称：高压柜母排</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2.试验项目：</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（1）绝缘电阻测试；</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（2）交流耐压试验。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高压电缆</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根</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名称：高压电缆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电压等级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10kV</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电缆主绝缘绝缘电阻</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电缆外护套绝缘电阻</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rPr>
              <w:t>电缆内衬层绝缘电阻</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sz w:val="21"/>
                <w:szCs w:val="21"/>
              </w:rPr>
              <w:t>耐压测试。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低压柜</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系统</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名称:低压柜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2.试验项目:绝缘电阻测试。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微机直流电源系统</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系统</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名称:微机直流电源系统</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绝缘电阻测</w:t>
            </w:r>
            <w:r>
              <w:rPr>
                <w:rFonts w:hint="eastAsia" w:asciiTheme="minorEastAsia" w:hAnsiTheme="minorEastAsia" w:cstheme="minorEastAsia"/>
                <w:sz w:val="21"/>
                <w:szCs w:val="21"/>
                <w:lang w:eastAsia="zh-CN"/>
              </w:rPr>
              <w:t>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(2)充放电性能试验。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防雷接地系统</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系统</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配电房接地网地阻值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配电房安全绝缘工具</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套</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名称:安全绝缘工具</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绝缘手套试验</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(2)绝缘靴试验</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rPr>
              <w:t>验电笔试验;</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(4)拉闸杆试验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发电机组</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台</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sz w:val="21"/>
                <w:szCs w:val="21"/>
                <w:lang w:val="en-US" w:eastAsia="zh-CN"/>
              </w:rPr>
              <w:t>品牌：安全绝缘工具</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eastAsia" w:asciiTheme="minorEastAsia" w:hAnsiTheme="minorEastAsia" w:cstheme="minorEastAsia"/>
                <w:sz w:val="21"/>
                <w:szCs w:val="21"/>
                <w:lang w:val="en-US" w:eastAsia="zh-CN"/>
              </w:rPr>
            </w:pPr>
            <w:r>
              <w:rPr>
                <w:rFonts w:hint="default" w:asciiTheme="minorEastAsia" w:hAnsiTheme="minorEastAsia" w:eastAsiaTheme="minorEastAsia" w:cstheme="minorEastAsia"/>
                <w:kern w:val="2"/>
                <w:sz w:val="21"/>
                <w:szCs w:val="21"/>
                <w:lang w:val="en-US" w:eastAsia="zh-CN" w:bidi="ar-SA"/>
              </w:rPr>
              <w:t>2.</w:t>
            </w:r>
            <w:r>
              <w:rPr>
                <w:rFonts w:hint="eastAsia" w:asciiTheme="minorEastAsia" w:hAnsiTheme="minorEastAsia" w:cstheme="minorEastAsia"/>
                <w:sz w:val="21"/>
                <w:szCs w:val="21"/>
                <w:lang w:val="en-US" w:eastAsia="zh-CN"/>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3.功率：1088KW</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4.一年一次常规维保</w:t>
            </w:r>
          </w:p>
        </w:tc>
      </w:tr>
    </w:tbl>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5"/>
        <w:ind w:firstLine="0" w:firstLineChars="0"/>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7703F0E"/>
    <w:rsid w:val="086B63BD"/>
    <w:rsid w:val="0B7625FD"/>
    <w:rsid w:val="0E812D4B"/>
    <w:rsid w:val="105E23FD"/>
    <w:rsid w:val="151B3CF1"/>
    <w:rsid w:val="156C442B"/>
    <w:rsid w:val="164A3328"/>
    <w:rsid w:val="18934843"/>
    <w:rsid w:val="1CE86C7E"/>
    <w:rsid w:val="1F281065"/>
    <w:rsid w:val="1F7532BF"/>
    <w:rsid w:val="207665B0"/>
    <w:rsid w:val="24D34D10"/>
    <w:rsid w:val="2A3D587C"/>
    <w:rsid w:val="2E6C60DE"/>
    <w:rsid w:val="30682346"/>
    <w:rsid w:val="32CE278C"/>
    <w:rsid w:val="334B291B"/>
    <w:rsid w:val="342C36FD"/>
    <w:rsid w:val="361D455A"/>
    <w:rsid w:val="3C9E34DC"/>
    <w:rsid w:val="3DFD0F56"/>
    <w:rsid w:val="3ED12F12"/>
    <w:rsid w:val="3FF0557C"/>
    <w:rsid w:val="40B76AC1"/>
    <w:rsid w:val="43CB5064"/>
    <w:rsid w:val="46364AC0"/>
    <w:rsid w:val="4BD905AE"/>
    <w:rsid w:val="4E023FB5"/>
    <w:rsid w:val="505676E2"/>
    <w:rsid w:val="50863A39"/>
    <w:rsid w:val="51AE7FC3"/>
    <w:rsid w:val="553B5E36"/>
    <w:rsid w:val="555B6681"/>
    <w:rsid w:val="58CA6D6C"/>
    <w:rsid w:val="590F06B1"/>
    <w:rsid w:val="5A42692C"/>
    <w:rsid w:val="61677FB2"/>
    <w:rsid w:val="62705B39"/>
    <w:rsid w:val="656A6E29"/>
    <w:rsid w:val="6639773D"/>
    <w:rsid w:val="66A27E8C"/>
    <w:rsid w:val="66F0488D"/>
    <w:rsid w:val="671E79F1"/>
    <w:rsid w:val="6DB45476"/>
    <w:rsid w:val="6FB14B2A"/>
    <w:rsid w:val="6FB6011E"/>
    <w:rsid w:val="6FDE5CDA"/>
    <w:rsid w:val="70115646"/>
    <w:rsid w:val="733D427B"/>
    <w:rsid w:val="74CB3468"/>
    <w:rsid w:val="77EE40FA"/>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22"/>
    <w:autoRedefine/>
    <w:qFormat/>
    <w:uiPriority w:val="0"/>
    <w:pPr>
      <w:ind w:firstLine="420" w:firstLineChars="200"/>
    </w:pPr>
    <w:rPr>
      <w:rFonts w:ascii="Times New Roman" w:hAnsi="Times New Roman" w:eastAsia="宋体" w:cs="Times New Roman"/>
      <w:szCs w:val="24"/>
    </w:rPr>
  </w:style>
  <w:style w:type="paragraph" w:styleId="3">
    <w:name w:val="annotation text"/>
    <w:basedOn w:val="1"/>
    <w:link w:val="27"/>
    <w:autoRedefine/>
    <w:semiHidden/>
    <w:unhideWhenUsed/>
    <w:qFormat/>
    <w:uiPriority w:val="99"/>
    <w:pPr>
      <w:jc w:val="left"/>
    </w:pPr>
  </w:style>
  <w:style w:type="paragraph" w:styleId="4">
    <w:name w:val="Body Text"/>
    <w:basedOn w:val="1"/>
    <w:next w:val="5"/>
    <w:link w:val="25"/>
    <w:autoRedefine/>
    <w:qFormat/>
    <w:uiPriority w:val="99"/>
    <w:pPr>
      <w:spacing w:after="120"/>
    </w:pPr>
    <w:rPr>
      <w:szCs w:val="24"/>
    </w:rPr>
  </w:style>
  <w:style w:type="paragraph" w:styleId="5">
    <w:name w:val="Body Text First Indent"/>
    <w:basedOn w:val="4"/>
    <w:link w:val="29"/>
    <w:autoRedefine/>
    <w:unhideWhenUsed/>
    <w:qFormat/>
    <w:uiPriority w:val="99"/>
    <w:pPr>
      <w:ind w:firstLine="420" w:firstLineChars="100"/>
    </w:p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32"/>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3"/>
    <w:next w:val="3"/>
    <w:link w:val="28"/>
    <w:autoRedefine/>
    <w:semiHidden/>
    <w:unhideWhenUsed/>
    <w:qFormat/>
    <w:uiPriority w:val="99"/>
    <w:rPr>
      <w:b/>
      <w:bCs/>
    </w:rPr>
  </w:style>
  <w:style w:type="paragraph" w:styleId="13">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link w:val="23"/>
    <w:autoRedefine/>
    <w:qFormat/>
    <w:uiPriority w:val="0"/>
    <w:pPr>
      <w:ind w:firstLine="420" w:firstLineChars="200"/>
    </w:pPr>
  </w:style>
  <w:style w:type="character" w:customStyle="1" w:styleId="21">
    <w:name w:val="批注框文本 Char"/>
    <w:basedOn w:val="16"/>
    <w:link w:val="8"/>
    <w:autoRedefine/>
    <w:semiHidden/>
    <w:qFormat/>
    <w:uiPriority w:val="99"/>
    <w:rPr>
      <w:sz w:val="18"/>
      <w:szCs w:val="18"/>
    </w:rPr>
  </w:style>
  <w:style w:type="character" w:customStyle="1" w:styleId="22">
    <w:name w:val="正文缩进 Char"/>
    <w:link w:val="2"/>
    <w:autoRedefine/>
    <w:qFormat/>
    <w:uiPriority w:val="0"/>
    <w:rPr>
      <w:rFonts w:ascii="Times New Roman" w:hAnsi="Times New Roman" w:eastAsia="宋体" w:cs="Times New Roman"/>
      <w:szCs w:val="24"/>
    </w:rPr>
  </w:style>
  <w:style w:type="character" w:customStyle="1" w:styleId="23">
    <w:name w:val="列出段落 Char"/>
    <w:link w:val="20"/>
    <w:autoRedefine/>
    <w:qFormat/>
    <w:uiPriority w:val="0"/>
  </w:style>
  <w:style w:type="paragraph" w:customStyle="1" w:styleId="24">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5">
    <w:name w:val="正文文本 Char"/>
    <w:link w:val="4"/>
    <w:autoRedefine/>
    <w:qFormat/>
    <w:locked/>
    <w:uiPriority w:val="99"/>
    <w:rPr>
      <w:szCs w:val="24"/>
    </w:rPr>
  </w:style>
  <w:style w:type="character" w:customStyle="1" w:styleId="26">
    <w:name w:val="正文文本 Char1"/>
    <w:basedOn w:val="16"/>
    <w:autoRedefine/>
    <w:semiHidden/>
    <w:qFormat/>
    <w:uiPriority w:val="99"/>
  </w:style>
  <w:style w:type="character" w:customStyle="1" w:styleId="27">
    <w:name w:val="批注文字 Char"/>
    <w:basedOn w:val="16"/>
    <w:link w:val="3"/>
    <w:autoRedefine/>
    <w:semiHidden/>
    <w:qFormat/>
    <w:uiPriority w:val="99"/>
  </w:style>
  <w:style w:type="character" w:customStyle="1" w:styleId="28">
    <w:name w:val="批注主题 Char"/>
    <w:basedOn w:val="27"/>
    <w:link w:val="12"/>
    <w:autoRedefine/>
    <w:semiHidden/>
    <w:qFormat/>
    <w:uiPriority w:val="99"/>
    <w:rPr>
      <w:b/>
      <w:bCs/>
    </w:rPr>
  </w:style>
  <w:style w:type="character" w:customStyle="1" w:styleId="29">
    <w:name w:val="正文首行缩进 Char"/>
    <w:link w:val="5"/>
    <w:autoRedefine/>
    <w:qFormat/>
    <w:uiPriority w:val="0"/>
    <w:rPr>
      <w:rFonts w:hint="default" w:ascii="Calibri" w:hAnsi="Calibri" w:eastAsia="宋体" w:cs="Times New Roman"/>
      <w:kern w:val="2"/>
      <w:sz w:val="21"/>
      <w:szCs w:val="22"/>
    </w:rPr>
  </w:style>
  <w:style w:type="paragraph" w:customStyle="1" w:styleId="30">
    <w:name w:val="Table Paragraph"/>
    <w:basedOn w:val="1"/>
    <w:autoRedefine/>
    <w:qFormat/>
    <w:uiPriority w:val="99"/>
    <w:rPr>
      <w:rFonts w:ascii="宋体" w:hAnsi="宋体" w:cs="宋体"/>
      <w:lang w:val="zh-CN"/>
    </w:rPr>
  </w:style>
  <w:style w:type="character" w:customStyle="1" w:styleId="31">
    <w:name w:val="页眉 Char"/>
    <w:basedOn w:val="16"/>
    <w:link w:val="10"/>
    <w:autoRedefine/>
    <w:semiHidden/>
    <w:qFormat/>
    <w:uiPriority w:val="99"/>
    <w:rPr>
      <w:rFonts w:asciiTheme="minorHAnsi" w:hAnsiTheme="minorHAnsi" w:eastAsiaTheme="minorEastAsia" w:cstheme="minorBidi"/>
      <w:kern w:val="2"/>
      <w:sz w:val="18"/>
      <w:szCs w:val="18"/>
    </w:rPr>
  </w:style>
  <w:style w:type="character" w:customStyle="1" w:styleId="32">
    <w:name w:val="页脚 Char"/>
    <w:basedOn w:val="16"/>
    <w:link w:val="9"/>
    <w:autoRedefine/>
    <w:semiHidden/>
    <w:qFormat/>
    <w:uiPriority w:val="99"/>
    <w:rPr>
      <w:rFonts w:asciiTheme="minorHAnsi" w:hAnsiTheme="minorHAnsi" w:eastAsiaTheme="minorEastAsia" w:cstheme="minorBidi"/>
      <w:kern w:val="2"/>
      <w:sz w:val="18"/>
      <w:szCs w:val="18"/>
    </w:rPr>
  </w:style>
  <w:style w:type="paragraph" w:customStyle="1" w:styleId="33">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2</TotalTime>
  <ScaleCrop>false</ScaleCrop>
  <LinksUpToDate>false</LinksUpToDate>
  <CharactersWithSpaces>7012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TYY</cp:lastModifiedBy>
  <cp:lastPrinted>2021-10-12T08:20:00Z</cp:lastPrinted>
  <dcterms:modified xsi:type="dcterms:W3CDTF">2024-04-18T01:37:26Z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D2CD5679B1544A6680DEB91BF83B5D97</vt:lpwstr>
  </property>
</Properties>
</file>