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空气消毒机、抢救车等</w:t>
      </w:r>
      <w:r>
        <w:rPr>
          <w:rFonts w:hint="eastAsia" w:asciiTheme="minorEastAsia" w:hAnsiTheme="minorEastAsia"/>
          <w:b/>
          <w:bCs/>
          <w:sz w:val="36"/>
          <w:szCs w:val="36"/>
        </w:rPr>
        <w:t>询价采购需求</w:t>
      </w:r>
    </w:p>
    <w:p>
      <w:pPr>
        <w:spacing w:line="360" w:lineRule="auto"/>
        <w:rPr>
          <w:rFonts w:asciiTheme="minorEastAsia" w:hAnsiTheme="minorEastAsia"/>
          <w:sz w:val="36"/>
          <w:szCs w:val="36"/>
        </w:rPr>
      </w:pPr>
    </w:p>
    <w:p>
      <w:pPr>
        <w:pStyle w:val="1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技术、功能要求及其他相关要求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  <w:lang w:val="en-US" w:eastAsia="zh-CN"/>
        </w:rPr>
        <w:t>本项目最高限价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8.28</w:t>
      </w:r>
      <w:r>
        <w:rPr>
          <w:rFonts w:hint="eastAsia"/>
          <w:color w:val="auto"/>
          <w:sz w:val="24"/>
          <w:szCs w:val="24"/>
          <w:lang w:val="en-US" w:eastAsia="zh-CN"/>
        </w:rPr>
        <w:t>万元。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.采</w:t>
      </w:r>
      <w:r>
        <w:rPr>
          <w:rFonts w:hint="eastAsia"/>
          <w:lang w:val="en-US" w:eastAsia="zh-CN"/>
        </w:rPr>
        <w:t>购清单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92"/>
        <w:gridCol w:w="979"/>
        <w:gridCol w:w="1072"/>
        <w:gridCol w:w="171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最高单价限价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医用冷藏柜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治疗推车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治疗柜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抢救车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注射床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注射椅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2200.00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pct"/>
            <w:gridSpan w:val="2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82800.00</w:t>
            </w:r>
          </w:p>
        </w:tc>
      </w:tr>
    </w:tbl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/>
          <w:b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空气消毒机（80m³）：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1、微电脑程序控制，中文液晶显示屏；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2、紫外线灯管、电机、负离子故障自动检测带真人语音故障提示；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3、紫外线加强消毒和自动检测，镜面不锈钢板固定，增强紫外线强度；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4、整机工作寿命计时和清洗保养提醒功能；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5、主管失效备管自动支援功能；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6、采用微电脑、高精度实时时钟芯片控制，工作稳定可靠；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7、自动、遥控、轻触式手控多控消毒运行；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8、风速高、中、低可选；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9、双通道循环出风；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10、带初中效尘埃过滤网、活性炭网及光触媒过滤网辅助消毒；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11、内置隐藏式遥控器放置盒，具防丢失功能；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12、外设防滑扶手，推拉移动自如；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13、外形：移动式；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14、外观尺寸：55cm×43cm×93cm(±3cm）；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15、循环消毒风量：≥800m3/h；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16、紫外线辐照强度（垂直距离灯管15cm处）：≥7.36×103μW/cm2；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17、消毒功率：≤410W；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18、紫外线管寿命：≥5000h；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19、紫外线泄漏量：＜5μW/cm2；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21、消毒时空气中臭氧量：≤0.1mg/m3；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22、负离子发生量：≥6×106个/cm3；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23、额定电压：AC 220V±22V；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24、额定频率：50Hz±1Hz；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25、噪音：≤55dB(A)；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26、消毒后空气中细菌总数：≤200cfu/m3；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27、适用环境：人在动态环境及静态环境（医院病区）；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28、安全防护类型：I类。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医用冷藏柜：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1、温度范围（℃）：阴凉（8-20）/冷藏（2-8）；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2、湿度范围（RH）：35%~75%；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3、额定电压：220V±5V/50HZ±2HZ；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4、整机功率（W）：≥110；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5、有效容积(L):≥45；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6、外部尺寸：950mm*390mm*450mm（±5mm）；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7、内部尺寸：310mm*320mm*485mm（±5mm）；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8、蒸发器：翅片蒸发器；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9、蒸发器尺寸：2mm*4mm*150mm（±1mm）；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10、功能：温度湿度双控双显，温湿度可自动记录存储，温度湿度异常报警。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治疗推车：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车身材质：不锈钢 面包轮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尺寸：长≥670mm宽≥430mm高≥850mm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双层带抽屉（2个）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治疗柜：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柜体材质：不锈钢  台面材质：不锈钢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柜体尺寸：长≥1700mm高≥1850m宽≥570mm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台面尺寸: ≥长1730mm宽≥330mm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柜顶玻璃柜4个 抽屉3个 底部柜子两个。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抢救车：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规格：750*475*930mm（±5mm）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主要由铝·钢·ABS工程塑料结构组成；铝合金柱四柱承重；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ABS弧形底面注塑工艺成型两侧带有扶手，专业锐器盒，可左右任意摆放，凹陷设计可防止物品滑落，台面配有304材质不锈钢护栏，台面上配透明软玻璃；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车体左侧：除颤器平台可选输液架左右互换、隐藏式副工作台可拆式档案盒；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车体右侧：隐藏式伸缩输液架可选除颤器平台左右互换、锐器桶、双污物桶；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车体背后：除颤板，隐藏式伸缩氧气瓶支架，活动电源线；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t>车体正面：中控锁，配置有五层抽屉、第一二层小抽面≥75mm，内空：430x335*68mm（±3mm）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两中抽面≥115mm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内空：430x335*110mm（±3mm）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一深抽面≥240mm内空：430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>335*220mm（±3mm）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抽屉内 3*3分隔片，可自由分隔，抽屉拉手为燕尾式、封口插槽式透明标识卡规格：115*28mm（±3mm）、防止液体及灰尘进入；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default"/>
          <w:lang w:val="en-US" w:eastAsia="zh-CN"/>
        </w:rPr>
        <w:t>车体底部：豪华万向插入式静音轮，其中两只带刹车功能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重量：45.4KG±2KG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注射床：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1、床身材质：碳钢 床面：皮革；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2、长：≥1900mm宽：≥620mm高：≥650mm。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注射椅：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电机：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四个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功率：≥50W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电机：头部、腿部、整体可用电机升降及整张椅面可向后倾斜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整体净重70KG±3KG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皮面 座垫：高密度海绵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尺寸：长≥185cm 宽≥60cm 高：61-88cm（可升降）。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合同签订时间：成交公告公示结束后30日内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交付期限：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2024年3月28日之前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质保期：≥1年。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售后服务要求：及时免费更换破损及不符合要求的产品。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6.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式：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设备安装、调试、培训、验收等合格，完善相关财务报销流程后，转账支付合同总款项95%，质保期满后，无任何质量及违约问题，完善相关财务报销流程后，转账支付合同总款项5%。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7.</w:t>
      </w:r>
      <w:r>
        <w:rPr>
          <w:rFonts w:hint="eastAsia" w:ascii="宋体" w:hAnsi="宋体" w:cs="宋体"/>
          <w:sz w:val="24"/>
        </w:rPr>
        <w:t>履约验收：严格按照《财政部关于进一步加强政府采购需求和履约验收管理的指导意见》(财库〔2016〕205 号)的要求进行验收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本次询价采购供应商需全部满足采购需求，不允许负偏离，否则为无效响应。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2024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3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 xml:space="preserve">22 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方式</w:t>
      </w:r>
      <w:r>
        <w:rPr>
          <w:rFonts w:hint="eastAsia" w:cs="宋体-18030" w:asciiTheme="minorEastAsia" w:hAnsiTheme="minorEastAsia"/>
          <w:kern w:val="0"/>
          <w:sz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11"/>
        <w:tblW w:w="4872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56"/>
        <w:gridCol w:w="852"/>
        <w:gridCol w:w="828"/>
        <w:gridCol w:w="876"/>
        <w:gridCol w:w="11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0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本次报价含货物、运输、人工费及税费等。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3120" w:firstLineChars="13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1CC31199"/>
    <w:rsid w:val="281C5F79"/>
    <w:rsid w:val="284138AF"/>
    <w:rsid w:val="2F2564F1"/>
    <w:rsid w:val="311B31B5"/>
    <w:rsid w:val="3E624969"/>
    <w:rsid w:val="3E8D0F4D"/>
    <w:rsid w:val="40604D53"/>
    <w:rsid w:val="41B859F1"/>
    <w:rsid w:val="47FE21A4"/>
    <w:rsid w:val="4A1252C8"/>
    <w:rsid w:val="4F393C1A"/>
    <w:rsid w:val="51F107F2"/>
    <w:rsid w:val="5C5F0883"/>
    <w:rsid w:val="69807EFF"/>
    <w:rsid w:val="72707C3D"/>
    <w:rsid w:val="7AB229CD"/>
    <w:rsid w:val="7F29203D"/>
    <w:rsid w:val="7FD2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3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1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0"/>
    <w:autoRedefine/>
    <w:qFormat/>
    <w:uiPriority w:val="99"/>
    <w:pPr>
      <w:spacing w:after="120"/>
    </w:pPr>
    <w:rPr>
      <w:szCs w:val="24"/>
    </w:r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9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autoRedefine/>
    <w:qFormat/>
    <w:uiPriority w:val="0"/>
  </w:style>
  <w:style w:type="paragraph" w:customStyle="1" w:styleId="1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6"/>
    <w:autoRedefine/>
    <w:qFormat/>
    <w:locked/>
    <w:uiPriority w:val="99"/>
    <w:rPr>
      <w:szCs w:val="24"/>
    </w:rPr>
  </w:style>
  <w:style w:type="character" w:customStyle="1" w:styleId="21">
    <w:name w:val="正文文本 Char1"/>
    <w:basedOn w:val="13"/>
    <w:autoRedefine/>
    <w:semiHidden/>
    <w:qFormat/>
    <w:uiPriority w:val="99"/>
  </w:style>
  <w:style w:type="character" w:customStyle="1" w:styleId="22">
    <w:name w:val="批注文字 Char"/>
    <w:basedOn w:val="13"/>
    <w:link w:val="5"/>
    <w:autoRedefine/>
    <w:semiHidden/>
    <w:qFormat/>
    <w:uiPriority w:val="99"/>
  </w:style>
  <w:style w:type="character" w:customStyle="1" w:styleId="23">
    <w:name w:val="批注主题 Char"/>
    <w:basedOn w:val="22"/>
    <w:link w:val="9"/>
    <w:autoRedefine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7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2318</Words>
  <Characters>2558</Characters>
  <Lines>35</Lines>
  <Paragraphs>10</Paragraphs>
  <TotalTime>5</TotalTime>
  <ScaleCrop>false</ScaleCrop>
  <LinksUpToDate>false</LinksUpToDate>
  <CharactersWithSpaces>2701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李好</cp:lastModifiedBy>
  <dcterms:modified xsi:type="dcterms:W3CDTF">2024-03-19T03:04:58Z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8D5A85B3B5774C6289B59085B1830018_13</vt:lpwstr>
  </property>
</Properties>
</file>