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宋体" w:hAnsi="宋体" w:eastAsia="宋体"/>
          <w:b/>
          <w:sz w:val="44"/>
          <w:szCs w:val="44"/>
          <w:lang w:eastAsia="zh-CN"/>
        </w:rPr>
        <w:t>直购电</w:t>
      </w:r>
      <w:r>
        <w:rPr>
          <w:rFonts w:hint="eastAsia" w:ascii="方正小标宋简体" w:hAnsi="方正小标宋简体" w:eastAsia="方正小标宋简体"/>
          <w:sz w:val="44"/>
          <w:szCs w:val="44"/>
        </w:rPr>
        <w:t>询价采购需求</w:t>
      </w:r>
    </w:p>
    <w:p>
      <w:pPr>
        <w:pStyle w:val="7"/>
        <w:snapToGrid w:val="0"/>
        <w:rPr>
          <w:rFonts w:asciiTheme="minorEastAsia" w:hAnsiTheme="minorEastAsia" w:cstheme="minorEastAsia"/>
          <w:b/>
          <w:bCs/>
          <w:sz w:val="28"/>
          <w:szCs w:val="28"/>
        </w:rPr>
      </w:pPr>
    </w:p>
    <w:p>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w:t>
      </w:r>
      <w:r>
        <w:rPr>
          <w:rFonts w:hint="eastAsia" w:asciiTheme="minorEastAsia" w:hAnsiTheme="minorEastAsia" w:cstheme="minorEastAsia"/>
          <w:b/>
          <w:bCs/>
          <w:sz w:val="28"/>
          <w:szCs w:val="28"/>
          <w:lang w:eastAsia="zh-CN"/>
        </w:rPr>
        <w:t>技术要求（实质性）</w:t>
      </w:r>
    </w:p>
    <w:tbl>
      <w:tblPr>
        <w:tblStyle w:val="14"/>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gridSpan w:val="2"/>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left="375" w:leftChars="0" w:right="0" w:rightChars="0"/>
              <w:jc w:val="center"/>
              <w:rPr>
                <w:rFonts w:hint="eastAsia" w:asciiTheme="minorEastAsia" w:hAnsiTheme="minorEastAsia" w:eastAsiaTheme="minorEastAsia" w:cstheme="minorEastAsia"/>
                <w:b/>
                <w:bCs/>
                <w:i w:val="0"/>
                <w:iCs w:val="0"/>
                <w:caps w:val="0"/>
                <w:color w:val="auto"/>
                <w:spacing w:val="0"/>
                <w:sz w:val="24"/>
                <w:szCs w:val="24"/>
                <w:lang w:eastAsia="zh-CN"/>
              </w:rPr>
            </w:pPr>
            <w:r>
              <w:rPr>
                <w:rFonts w:hint="eastAsia" w:asciiTheme="minorEastAsia" w:hAnsiTheme="minorEastAsia" w:eastAsiaTheme="minorEastAsia" w:cstheme="minorEastAsia"/>
                <w:i w:val="0"/>
                <w:iCs w:val="0"/>
                <w:caps w:val="0"/>
                <w:color w:val="auto"/>
                <w:spacing w:val="0"/>
                <w:sz w:val="24"/>
                <w:szCs w:val="24"/>
                <w:lang w:eastAsia="zh-CN"/>
              </w:rPr>
              <w:t>直购电服务采购项目相关要求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center"/>
              <w:rPr>
                <w:rFonts w:hint="eastAsia" w:asciiTheme="minorEastAsia" w:hAnsiTheme="minorEastAsia" w:eastAsiaTheme="minorEastAsia" w:cstheme="minorEastAsia"/>
                <w:b/>
                <w:bCs/>
                <w:i w:val="0"/>
                <w:iCs w:val="0"/>
                <w:caps w:val="0"/>
                <w:color w:val="auto"/>
                <w:spacing w:val="0"/>
                <w:sz w:val="24"/>
                <w:szCs w:val="24"/>
                <w:lang w:eastAsia="zh-CN"/>
              </w:rPr>
            </w:pPr>
            <w:r>
              <w:rPr>
                <w:rFonts w:hint="eastAsia" w:asciiTheme="minorEastAsia" w:hAnsiTheme="minorEastAsia" w:eastAsiaTheme="minorEastAsia" w:cstheme="minorEastAsia"/>
                <w:b/>
                <w:bCs/>
                <w:i w:val="0"/>
                <w:iCs w:val="0"/>
                <w:caps w:val="0"/>
                <w:color w:val="auto"/>
                <w:spacing w:val="0"/>
                <w:sz w:val="24"/>
                <w:szCs w:val="24"/>
                <w:lang w:eastAsia="zh-CN"/>
              </w:rPr>
              <w:t>服务要求</w:t>
            </w: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bCs/>
                <w:i w:val="0"/>
                <w:iCs w:val="0"/>
                <w:caps w:val="0"/>
                <w:color w:val="auto"/>
                <w:spacing w:val="0"/>
                <w:sz w:val="24"/>
                <w:szCs w:val="24"/>
                <w:lang w:eastAsia="zh-CN"/>
              </w:rPr>
            </w:pPr>
            <w:r>
              <w:rPr>
                <w:rFonts w:hint="eastAsia" w:asciiTheme="minorEastAsia" w:hAnsiTheme="minorEastAsia" w:eastAsiaTheme="minorEastAsia" w:cstheme="minorEastAsia"/>
                <w:b/>
                <w:bCs/>
                <w:i w:val="0"/>
                <w:iCs w:val="0"/>
                <w:caps w:val="0"/>
                <w:color w:val="auto"/>
                <w:spacing w:val="0"/>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left"/>
              <w:rPr>
                <w:rFonts w:hint="eastAsia" w:asciiTheme="minorEastAsia" w:hAnsiTheme="minorEastAsia" w:eastAsiaTheme="minorEastAsia" w:cstheme="minorEastAsia"/>
                <w:i w:val="0"/>
                <w:iCs w:val="0"/>
                <w:caps w:val="0"/>
                <w:color w:val="auto"/>
                <w:spacing w:val="0"/>
                <w:sz w:val="24"/>
                <w:szCs w:val="24"/>
                <w:lang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eastAsia="zh-CN"/>
              </w:rPr>
            </w:pPr>
            <w:r>
              <w:rPr>
                <w:rFonts w:hint="eastAsia" w:asciiTheme="minorEastAsia" w:hAnsiTheme="minorEastAsia" w:eastAsiaTheme="minorEastAsia" w:cstheme="minorEastAsia"/>
                <w:i w:val="0"/>
                <w:iCs w:val="0"/>
                <w:caps w:val="0"/>
                <w:color w:val="auto"/>
                <w:spacing w:val="0"/>
                <w:sz w:val="24"/>
                <w:szCs w:val="24"/>
                <w:lang w:eastAsia="zh-CN"/>
              </w:rPr>
              <w:t>1、安全巡视：每季度1次精细化安全巡视，全年夜间巡视4次，并出具巡视报告。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left"/>
              <w:rPr>
                <w:rFonts w:hint="eastAsia" w:asciiTheme="minorEastAsia" w:hAnsiTheme="minorEastAsia" w:eastAsiaTheme="minorEastAsia" w:cstheme="minorEastAsia"/>
                <w:i w:val="0"/>
                <w:iCs w:val="0"/>
                <w:caps w:val="0"/>
                <w:color w:val="auto"/>
                <w:spacing w:val="0"/>
                <w:sz w:val="24"/>
                <w:szCs w:val="24"/>
                <w:lang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eastAsia="zh-CN"/>
              </w:rPr>
            </w:pPr>
            <w:r>
              <w:rPr>
                <w:rFonts w:hint="eastAsia" w:asciiTheme="minorEastAsia" w:hAnsiTheme="minorEastAsia" w:eastAsiaTheme="minorEastAsia" w:cstheme="minorEastAsia"/>
                <w:i w:val="0"/>
                <w:iCs w:val="0"/>
                <w:caps w:val="0"/>
                <w:color w:val="auto"/>
                <w:spacing w:val="0"/>
                <w:sz w:val="24"/>
                <w:szCs w:val="24"/>
                <w:lang w:eastAsia="zh-CN"/>
              </w:rPr>
              <w:t>2、抢修服务：全年提供事故抢修处理，并分析故障原因。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eastAsia="zh-CN"/>
              </w:rPr>
            </w:pPr>
            <w:r>
              <w:rPr>
                <w:rFonts w:hint="eastAsia" w:asciiTheme="minorEastAsia" w:hAnsiTheme="minorEastAsia" w:eastAsiaTheme="minorEastAsia" w:cstheme="minorEastAsia"/>
                <w:i w:val="0"/>
                <w:iCs w:val="0"/>
                <w:caps w:val="0"/>
                <w:color w:val="auto"/>
                <w:spacing w:val="0"/>
                <w:sz w:val="24"/>
                <w:szCs w:val="24"/>
                <w:lang w:val="en-US" w:eastAsia="zh-CN"/>
              </w:rPr>
              <w:t>3</w:t>
            </w:r>
            <w:r>
              <w:rPr>
                <w:rFonts w:hint="eastAsia" w:asciiTheme="minorEastAsia" w:hAnsiTheme="minorEastAsia" w:eastAsiaTheme="minorEastAsia" w:cstheme="minorEastAsia"/>
                <w:i w:val="0"/>
                <w:iCs w:val="0"/>
                <w:caps w:val="0"/>
                <w:color w:val="auto"/>
                <w:spacing w:val="0"/>
                <w:sz w:val="24"/>
                <w:szCs w:val="24"/>
                <w:lang w:eastAsia="zh-CN"/>
              </w:rPr>
              <w:t>、设备保障服务：对采购人使用的各类输、配、变电电力设备（变压器、高低压开关柜、配电柜、发电机房、电线电缆、计量柜、仪器仪表、综合保护等）进行检修、保养、维护、安全检查。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4、年检报告：根据供电管理规定对设备进行年度预防性检测试验，并出具电力相关部门认可的报告</w:t>
            </w:r>
            <w:r>
              <w:rPr>
                <w:rFonts w:hint="eastAsia" w:asciiTheme="minorEastAsia" w:hAnsiTheme="minorEastAsia" w:cstheme="minorEastAsia"/>
                <w:i w:val="0"/>
                <w:iCs w:val="0"/>
                <w:caps w:val="0"/>
                <w:color w:val="auto"/>
                <w:spacing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5、用电建议：根据采购人历史用电行为特征、用电需求等特点，从行业特点、客户价值、用电需求等方面进行分析，为采购人提供用电建议。供应商应对采购人供电安全管理，加强装表接电、采集终端安装、用电检查等现场作业的安全管控提出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6、台账管理：建立设备</w:t>
            </w:r>
            <w:r>
              <w:rPr>
                <w:rFonts w:hint="eastAsia" w:asciiTheme="minorEastAsia" w:hAnsiTheme="minorEastAsia" w:cstheme="minorEastAsia"/>
                <w:i w:val="0"/>
                <w:iCs w:val="0"/>
                <w:caps w:val="0"/>
                <w:color w:val="auto"/>
                <w:spacing w:val="0"/>
                <w:sz w:val="24"/>
                <w:szCs w:val="24"/>
                <w:lang w:val="en-US" w:eastAsia="zh-CN"/>
              </w:rPr>
              <w:t>（高低压配电房、发电机房等用电设备）</w:t>
            </w:r>
            <w:r>
              <w:rPr>
                <w:rFonts w:hint="eastAsia" w:asciiTheme="minorEastAsia" w:hAnsiTheme="minorEastAsia" w:eastAsiaTheme="minorEastAsia" w:cstheme="minorEastAsia"/>
                <w:i w:val="0"/>
                <w:iCs w:val="0"/>
                <w:caps w:val="0"/>
                <w:color w:val="auto"/>
                <w:spacing w:val="0"/>
                <w:sz w:val="24"/>
                <w:szCs w:val="24"/>
                <w:lang w:val="en-US" w:eastAsia="zh-CN"/>
              </w:rPr>
              <w:t>管理台账；用电管理台账；户号管理台账。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7、节能降耗管理：为采购人提供用能监测，实施掌握电力系统运行状态及耗能情况，每月、每季度、每年度根据用电情况提供电能数据并出具《综合用电分析报告》。供应商根据用电状态及耗能情况提出优化用能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8、培训服务：每年对采购人维修人员进行安全培训不少于2次。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9、</w:t>
            </w:r>
            <w:r>
              <w:rPr>
                <w:rFonts w:hint="eastAsia" w:asciiTheme="minorEastAsia" w:hAnsiTheme="minorEastAsia" w:eastAsiaTheme="minorEastAsia" w:cstheme="minorEastAsia"/>
                <w:b w:val="0"/>
                <w:bCs w:val="0"/>
                <w:i w:val="0"/>
                <w:iCs w:val="0"/>
                <w:caps w:val="0"/>
                <w:color w:val="auto"/>
                <w:spacing w:val="0"/>
                <w:sz w:val="24"/>
                <w:szCs w:val="24"/>
                <w:shd w:val="clear" w:fill="auto"/>
              </w:rPr>
              <w:t>供应商须熟知直购电政策，向采购人和电网经营企业提供与履行相关的其他信息，</w:t>
            </w:r>
            <w:r>
              <w:rPr>
                <w:rFonts w:hint="eastAsia" w:asciiTheme="minorEastAsia" w:hAnsiTheme="minorEastAsia" w:eastAsiaTheme="minorEastAsia" w:cstheme="minorEastAsia"/>
                <w:i w:val="0"/>
                <w:iCs w:val="0"/>
                <w:caps w:val="0"/>
                <w:color w:val="auto"/>
                <w:spacing w:val="0"/>
                <w:sz w:val="24"/>
                <w:szCs w:val="24"/>
                <w:lang w:val="en-US" w:eastAsia="zh-CN"/>
              </w:rPr>
              <w:t>协助采购人申请办理直购电有关手续。如入市申请、交易主体注册、交易平台信息收录等。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10、供应商派遣电力工程师到采购人单位了解用电设备及其负荷，辅助能源管理部门做负荷及电量预测。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11、根据采购人单位作为医疗机构的特殊性质，全面开展高危及重要电安全隐患排查咨询，及提供交易规则、电价政策、电费补贴等政策咨询服务。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eastAsia" w:asciiTheme="minorEastAsia" w:hAnsiTheme="minorEastAsia" w:eastAsiaTheme="minorEastAsia" w:cs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12、协助采购人制定设备检修计划。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pStyle w:val="32"/>
              <w:keepNext w:val="0"/>
              <w:keepLines w:val="0"/>
              <w:pageBreakBefore w:val="0"/>
              <w:kinsoku/>
              <w:wordWrap/>
              <w:overflowPunct/>
              <w:topLinePunct w:val="0"/>
              <w:autoSpaceDE/>
              <w:autoSpaceDN/>
              <w:bidi w:val="0"/>
              <w:adjustRightInd/>
              <w:snapToGrid/>
              <w:spacing w:line="600" w:lineRule="exact"/>
              <w:jc w:val="both"/>
              <w:rPr>
                <w:rFonts w:hint="eastAsia" w:asciiTheme="minorEastAsia" w:hAnsiTheme="minorEastAsia" w:eastAsiaTheme="minorEastAsia" w:cstheme="minorEastAsia"/>
                <w:i w:val="0"/>
                <w:iCs w:val="0"/>
                <w:caps w:val="0"/>
                <w:color w:val="auto"/>
                <w:spacing w:val="0"/>
                <w:kern w:val="2"/>
                <w:sz w:val="24"/>
                <w:szCs w:val="24"/>
                <w:lang w:val="en-US" w:eastAsia="zh-CN" w:bidi="ar-SA"/>
              </w:rPr>
            </w:pPr>
          </w:p>
        </w:tc>
        <w:tc>
          <w:tcPr>
            <w:tcW w:w="6690" w:type="dxa"/>
            <w:noWrap w:val="0"/>
            <w:vAlign w:val="center"/>
          </w:tcPr>
          <w:p>
            <w:pPr>
              <w:pStyle w:val="32"/>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kern w:val="2"/>
                <w:sz w:val="24"/>
                <w:szCs w:val="24"/>
                <w:lang w:val="en-US" w:eastAsia="zh-CN" w:bidi="ar-SA"/>
              </w:rPr>
              <w:t>13、供应商根据本项目实际情况制定项目实施方案、应急服务方案、后续服务方案，内容包含：项目实际情况；项目背景、项目现存问题分析；项目需求分析；突发事件预案；对不同类型突发情况制定不同应急处理措施的；项目实施情况跟进；根据服务期限、服务地点、服务要求制定后续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pageBreakBefore w:val="0"/>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i w:val="0"/>
                <w:iCs w:val="0"/>
                <w:caps w:val="0"/>
                <w:color w:val="auto"/>
                <w:spacing w:val="0"/>
                <w:kern w:val="2"/>
                <w:sz w:val="24"/>
                <w:szCs w:val="24"/>
                <w:lang w:val="en-US" w:eastAsia="zh-CN" w:bidi="ar-SA"/>
              </w:rPr>
            </w:pPr>
          </w:p>
        </w:tc>
        <w:tc>
          <w:tcPr>
            <w:tcW w:w="66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kern w:val="2"/>
                <w:sz w:val="24"/>
                <w:szCs w:val="24"/>
                <w:lang w:val="en-US" w:eastAsia="zh-CN" w:bidi="ar-SA"/>
              </w:rPr>
              <w:t>14、成交供应商须提供7*24小时技术援助电话，解答采购人在日常中遇到的问题，及时提出解决冋题的建议和操作方法。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pageBreakBefore w:val="0"/>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i w:val="0"/>
                <w:iCs w:val="0"/>
                <w:caps w:val="0"/>
                <w:color w:val="auto"/>
                <w:spacing w:val="0"/>
                <w:kern w:val="2"/>
                <w:sz w:val="24"/>
                <w:szCs w:val="24"/>
                <w:lang w:val="en-US" w:eastAsia="zh-CN" w:bidi="ar-SA"/>
              </w:rPr>
            </w:pPr>
          </w:p>
        </w:tc>
        <w:tc>
          <w:tcPr>
            <w:tcW w:w="66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i w:val="0"/>
                <w:iCs w:val="0"/>
                <w:caps w:val="0"/>
                <w:color w:val="auto"/>
                <w:spacing w:val="0"/>
                <w:kern w:val="2"/>
                <w:sz w:val="24"/>
                <w:szCs w:val="24"/>
                <w:lang w:val="en-US" w:eastAsia="zh-CN" w:bidi="ar-SA"/>
              </w:rPr>
            </w:pPr>
            <w:r>
              <w:rPr>
                <w:rFonts w:hint="eastAsia" w:asciiTheme="minorEastAsia" w:hAnsiTheme="minorEastAsia" w:eastAsiaTheme="minorEastAsia" w:cstheme="minorEastAsia"/>
                <w:i w:val="0"/>
                <w:iCs w:val="0"/>
                <w:caps w:val="0"/>
                <w:color w:val="auto"/>
                <w:spacing w:val="0"/>
                <w:sz w:val="24"/>
                <w:szCs w:val="24"/>
                <w:lang w:val="en-US" w:eastAsia="zh-CN"/>
              </w:rPr>
              <w:t>15、依据四川电力市场有关交易规则及年度指导意见计算的偏差电量考核费由供应商全额承担。</w:t>
            </w:r>
          </w:p>
        </w:tc>
      </w:tr>
    </w:tbl>
    <w:p>
      <w:pPr>
        <w:spacing w:line="360" w:lineRule="auto"/>
        <w:rPr>
          <w:rFonts w:asciiTheme="minorEastAsia" w:hAnsiTheme="minorEastAsia"/>
          <w:b/>
          <w:bCs/>
          <w:sz w:val="24"/>
          <w:szCs w:val="24"/>
        </w:rPr>
      </w:pPr>
    </w:p>
    <w:p>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w:t>
      </w:r>
      <w:r>
        <w:rPr>
          <w:rFonts w:hint="eastAsia" w:asciiTheme="minorEastAsia" w:hAnsiTheme="minorEastAsia"/>
          <w:b/>
          <w:bCs/>
          <w:sz w:val="24"/>
          <w:szCs w:val="24"/>
          <w:lang w:eastAsia="zh-CN"/>
        </w:rPr>
        <w:t>商务</w:t>
      </w:r>
      <w:r>
        <w:rPr>
          <w:rFonts w:hint="eastAsia" w:asciiTheme="minorEastAsia" w:hAnsiTheme="minorEastAsia"/>
          <w:b/>
          <w:bCs/>
          <w:sz w:val="24"/>
          <w:szCs w:val="24"/>
        </w:rPr>
        <w:t>要求：</w:t>
      </w:r>
    </w:p>
    <w:p>
      <w:pPr>
        <w:spacing w:line="360" w:lineRule="auto"/>
        <w:rPr>
          <w:rFonts w:hint="eastAsia" w:asciiTheme="minorEastAsia" w:hAnsiTheme="minorEastAsia"/>
          <w:sz w:val="24"/>
          <w:szCs w:val="24"/>
        </w:rPr>
      </w:pPr>
      <w:r>
        <w:rPr>
          <w:rFonts w:hint="eastAsia" w:asciiTheme="minorEastAsia" w:hAnsiTheme="minorEastAsia"/>
          <w:sz w:val="24"/>
          <w:szCs w:val="24"/>
        </w:rPr>
        <w:t>1、服务期限：2024年4月至202</w:t>
      </w:r>
      <w:r>
        <w:rPr>
          <w:rFonts w:hint="eastAsia" w:asciiTheme="minorEastAsia" w:hAnsiTheme="minorEastAsia"/>
          <w:sz w:val="24"/>
          <w:szCs w:val="24"/>
          <w:lang w:val="en-US" w:eastAsia="zh-CN"/>
        </w:rPr>
        <w:t>4</w:t>
      </w:r>
      <w:r>
        <w:rPr>
          <w:rFonts w:hint="eastAsia" w:asciiTheme="minorEastAsia" w:hAnsiTheme="minorEastAsia"/>
          <w:sz w:val="24"/>
          <w:szCs w:val="24"/>
        </w:rPr>
        <w:t>年12月。</w:t>
      </w:r>
    </w:p>
    <w:p>
      <w:pPr>
        <w:spacing w:line="360" w:lineRule="auto"/>
        <w:rPr>
          <w:rFonts w:hint="eastAsia" w:asciiTheme="minorEastAsia" w:hAnsiTheme="minorEastAsia"/>
          <w:sz w:val="24"/>
          <w:szCs w:val="24"/>
        </w:rPr>
      </w:pPr>
      <w:r>
        <w:rPr>
          <w:rFonts w:hint="eastAsia" w:asciiTheme="minorEastAsia" w:hAnsiTheme="minorEastAsia"/>
          <w:sz w:val="24"/>
          <w:szCs w:val="24"/>
        </w:rPr>
        <w:t>2、服务地点：采购单位指定地点。</w:t>
      </w:r>
    </w:p>
    <w:p>
      <w:pPr>
        <w:spacing w:line="360" w:lineRule="auto"/>
        <w:rPr>
          <w:rFonts w:hint="eastAsia" w:asciiTheme="minorEastAsia" w:hAnsiTheme="minorEastAsia"/>
          <w:sz w:val="24"/>
          <w:szCs w:val="24"/>
        </w:rPr>
      </w:pPr>
      <w:r>
        <w:rPr>
          <w:rFonts w:hint="eastAsia" w:asciiTheme="minorEastAsia" w:hAnsiTheme="minorEastAsia"/>
          <w:sz w:val="24"/>
          <w:szCs w:val="24"/>
        </w:rPr>
        <w:t>3、付款方式：</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合同履约期内，除固定水电价外的结算价格及结算方式按照相关部门政策执行。固定水电价将按照</w:t>
      </w:r>
      <w:r>
        <w:rPr>
          <w:rFonts w:hint="eastAsia" w:asciiTheme="minorEastAsia" w:hAnsiTheme="minorEastAsia"/>
          <w:color w:val="auto"/>
          <w:sz w:val="24"/>
          <w:szCs w:val="24"/>
          <w:lang w:eastAsia="zh-CN"/>
        </w:rPr>
        <w:t>响应的最终报价</w:t>
      </w:r>
      <w:bookmarkStart w:id="1" w:name="_GoBack"/>
      <w:bookmarkEnd w:id="1"/>
      <w:r>
        <w:rPr>
          <w:rFonts w:hint="eastAsia" w:asciiTheme="minorEastAsia" w:hAnsiTheme="minorEastAsia"/>
          <w:color w:val="auto"/>
          <w:sz w:val="24"/>
          <w:szCs w:val="24"/>
        </w:rPr>
        <w:t>进行结算，作为合同履约期间，结算电价中固定水电价的结算依据。合同履约期内，结算电价由采购人直接向电网企业缴纳，供应商的固定水电价交易结算由电网企业与相应电力交易机构按相关规定另行完成。</w:t>
      </w:r>
    </w:p>
    <w:p>
      <w:pPr>
        <w:spacing w:line="360" w:lineRule="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4、提供参与电力市场交易的履约保证函或者履约保险等履约保障凭证</w:t>
      </w:r>
      <w:r>
        <w:rPr>
          <w:rFonts w:hint="eastAsia" w:asciiTheme="minorEastAsia" w:hAnsiTheme="minorEastAsia"/>
          <w:b/>
          <w:bCs/>
          <w:color w:val="auto"/>
          <w:sz w:val="24"/>
          <w:szCs w:val="24"/>
          <w:lang w:val="en-US" w:eastAsia="zh-CN"/>
        </w:rPr>
        <w:t>（提供相关证明材料）</w:t>
      </w:r>
      <w:r>
        <w:rPr>
          <w:rFonts w:hint="eastAsia" w:asciiTheme="minorEastAsia" w:hAnsiTheme="minorEastAsia"/>
          <w:color w:val="auto"/>
          <w:sz w:val="24"/>
          <w:szCs w:val="24"/>
          <w:lang w:val="en-US" w:eastAsia="zh-CN"/>
        </w:rPr>
        <w:t>。</w:t>
      </w:r>
    </w:p>
    <w:p>
      <w:pPr>
        <w:spacing w:line="360" w:lineRule="auto"/>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、报价要求：</w:t>
      </w:r>
    </w:p>
    <w:p>
      <w:pPr>
        <w:spacing w:line="360" w:lineRule="auto"/>
        <w:rPr>
          <w:rFonts w:hint="eastAsia" w:asciiTheme="minorEastAsia" w:hAnsiTheme="minorEastAsia"/>
          <w:color w:val="auto"/>
          <w:sz w:val="24"/>
          <w:szCs w:val="24"/>
        </w:rPr>
      </w:pPr>
      <w:r>
        <w:rPr>
          <w:rFonts w:hint="eastAsia" w:asciiTheme="minorEastAsia" w:hAnsiTheme="minorEastAsia"/>
          <w:color w:val="auto"/>
          <w:sz w:val="24"/>
          <w:szCs w:val="24"/>
        </w:rPr>
        <w:t>（1）报价方式:本项目采用单价报价方式。固定水电价最高限价为：0.2782元/千瓦时，固定水电价超过最高限价的报价无效。</w:t>
      </w:r>
    </w:p>
    <w:p>
      <w:pPr>
        <w:spacing w:line="360" w:lineRule="auto"/>
        <w:rPr>
          <w:rFonts w:hint="eastAsia" w:asciiTheme="minorEastAsia" w:hAnsiTheme="minorEastAsia"/>
          <w:sz w:val="24"/>
          <w:szCs w:val="24"/>
        </w:rPr>
      </w:pPr>
      <w:r>
        <w:rPr>
          <w:rFonts w:hint="eastAsia" w:asciiTheme="minorEastAsia" w:hAnsiTheme="minorEastAsia"/>
          <w:color w:val="auto"/>
          <w:sz w:val="24"/>
          <w:szCs w:val="24"/>
        </w:rPr>
        <w:t>（2）本项目预算金额包含：（固定水电价+电费单价中除固定水电价的组成部分）*实际使用电量，以及供应商工作人员的工勤费用以及合同实施过</w:t>
      </w:r>
      <w:r>
        <w:rPr>
          <w:rFonts w:hint="eastAsia" w:asciiTheme="minorEastAsia" w:hAnsiTheme="minorEastAsia"/>
          <w:sz w:val="24"/>
          <w:szCs w:val="24"/>
        </w:rPr>
        <w:t>程中的可预见及不可预见费用，采购人不再另行支付</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三、供应商资格要求及证明材料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四川电力交易中心网站（https://pmos.sc.sgcc.com.cn）市场公示的市场成员中</w:t>
      </w:r>
      <w:r>
        <w:rPr>
          <w:rFonts w:hint="eastAsia" w:asciiTheme="minorEastAsia" w:hAnsiTheme="minorEastAsia"/>
          <w:b/>
          <w:bCs/>
          <w:kern w:val="0"/>
          <w:sz w:val="24"/>
        </w:rPr>
        <w:t>（提供相关截图证明材料）</w:t>
      </w:r>
      <w:r>
        <w:rPr>
          <w:rFonts w:hint="eastAsia" w:asciiTheme="minorEastAsia" w:hAnsiTheme="minorEastAsia"/>
          <w:b w:val="0"/>
          <w:bCs w:val="0"/>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color w:val="auto"/>
          <w:kern w:val="0"/>
          <w:sz w:val="24"/>
        </w:rPr>
        <w:t>1.递交响应文件截止时间：202</w:t>
      </w:r>
      <w:r>
        <w:rPr>
          <w:rFonts w:hint="eastAsia" w:cs="宋体-18030" w:asciiTheme="minorEastAsia" w:hAnsiTheme="minorEastAsia"/>
          <w:color w:val="auto"/>
          <w:kern w:val="0"/>
          <w:sz w:val="24"/>
          <w:lang w:val="en-US" w:eastAsia="zh-CN"/>
        </w:rPr>
        <w:t>4</w:t>
      </w:r>
      <w:r>
        <w:rPr>
          <w:rFonts w:hint="eastAsia" w:cs="宋体-18030" w:asciiTheme="minorEastAsia" w:hAnsiTheme="minorEastAsia"/>
          <w:color w:val="auto"/>
          <w:kern w:val="0"/>
          <w:sz w:val="24"/>
        </w:rPr>
        <w:t>年</w:t>
      </w:r>
      <w:r>
        <w:rPr>
          <w:rFonts w:hint="eastAsia" w:cs="宋体-18030" w:asciiTheme="minorEastAsia" w:hAnsiTheme="minorEastAsia"/>
          <w:color w:val="auto"/>
          <w:kern w:val="0"/>
          <w:sz w:val="24"/>
          <w:lang w:val="en-US" w:eastAsia="zh-CN"/>
        </w:rPr>
        <w:t>3</w:t>
      </w:r>
      <w:r>
        <w:rPr>
          <w:rFonts w:hint="eastAsia" w:cs="宋体-18030" w:asciiTheme="minorEastAsia" w:hAnsiTheme="minorEastAsia"/>
          <w:color w:val="auto"/>
          <w:kern w:val="0"/>
          <w:sz w:val="24"/>
        </w:rPr>
        <w:t>月</w:t>
      </w:r>
      <w:r>
        <w:rPr>
          <w:rFonts w:hint="eastAsia" w:cs="宋体-18030" w:asciiTheme="minorEastAsia" w:hAnsiTheme="minorEastAsia"/>
          <w:color w:val="auto"/>
          <w:kern w:val="0"/>
          <w:sz w:val="24"/>
          <w:lang w:val="en-US" w:eastAsia="zh-CN"/>
        </w:rPr>
        <w:t>12</w:t>
      </w:r>
      <w:r>
        <w:rPr>
          <w:rFonts w:hint="eastAsia" w:cs="宋体-18030" w:asciiTheme="minorEastAsia" w:hAnsiTheme="minorEastAsia"/>
          <w:color w:val="auto"/>
          <w:kern w:val="0"/>
          <w:sz w:val="24"/>
        </w:rPr>
        <w:t>日1</w:t>
      </w:r>
      <w:r>
        <w:rPr>
          <w:rFonts w:hint="eastAsia" w:cs="宋体-18030" w:asciiTheme="minorEastAsia" w:hAnsiTheme="minorEastAsia"/>
          <w:color w:val="auto"/>
          <w:kern w:val="0"/>
          <w:sz w:val="24"/>
          <w:lang w:val="en-US" w:eastAsia="zh-CN"/>
        </w:rPr>
        <w:t>7</w:t>
      </w:r>
      <w:r>
        <w:rPr>
          <w:rFonts w:hint="eastAsia" w:cs="宋体-18030" w:asciiTheme="minorEastAsia" w:hAnsiTheme="minorEastAsia"/>
          <w:color w:val="auto"/>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Style w:val="16"/>
          <w:bCs/>
          <w:color w:val="FF0000"/>
          <w:szCs w:val="22"/>
          <w:shd w:val="clear" w:color="auto" w:fill="FFFFFF"/>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或者未</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指定地点的响应文件，采购人不予受理</w:t>
      </w:r>
      <w:r>
        <w:rPr>
          <w:rFonts w:hint="eastAsia" w:cs="宋体-18030" w:asciiTheme="minorEastAsia" w:hAnsiTheme="minorEastAsia"/>
          <w:kern w:val="0"/>
          <w:sz w:val="24"/>
        </w:rPr>
        <w:t>。</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方式：采购办</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rPr>
        <w:t>028-26346672</w:t>
      </w:r>
    </w:p>
    <w:p>
      <w:pPr>
        <w:spacing w:line="360" w:lineRule="auto"/>
        <w:rPr>
          <w:rFonts w:cs="宋体-18030" w:asciiTheme="minorEastAsia" w:hAnsiTheme="minorEastAsia"/>
          <w:b/>
          <w:kern w:val="0"/>
          <w:sz w:val="24"/>
          <w:lang w:val="zh-CN"/>
        </w:rPr>
      </w:pP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672"/>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spacing w:line="360" w:lineRule="auto"/>
              <w:jc w:val="center"/>
              <w:rPr>
                <w:rFonts w:hint="eastAsia" w:asciiTheme="minorEastAsia" w:hAnsiTheme="minorEastAsia" w:eastAsiaTheme="minorEastAsia" w:cstheme="minorEastAsia"/>
                <w:b/>
                <w:bCs/>
                <w:kern w:val="0"/>
                <w:sz w:val="24"/>
                <w:szCs w:val="24"/>
                <w:vertAlign w:val="baseline"/>
                <w:lang w:val="zh-CN"/>
              </w:rPr>
            </w:pPr>
            <w:r>
              <w:rPr>
                <w:rFonts w:hint="eastAsia" w:asciiTheme="minorEastAsia" w:hAnsiTheme="minorEastAsia" w:eastAsiaTheme="minorEastAsia" w:cstheme="minorEastAsia"/>
                <w:b/>
                <w:bCs/>
                <w:kern w:val="0"/>
                <w:sz w:val="24"/>
                <w:szCs w:val="24"/>
                <w:vertAlign w:val="baseline"/>
                <w:lang w:val="zh-CN"/>
              </w:rPr>
              <w:t>项目名称</w:t>
            </w:r>
          </w:p>
        </w:tc>
        <w:tc>
          <w:tcPr>
            <w:tcW w:w="1672" w:type="dxa"/>
          </w:tcPr>
          <w:p>
            <w:pPr>
              <w:spacing w:line="360" w:lineRule="auto"/>
              <w:jc w:val="center"/>
              <w:rPr>
                <w:rFonts w:hint="eastAsia" w:asciiTheme="minorEastAsia" w:hAnsiTheme="minorEastAsia" w:eastAsiaTheme="minorEastAsia" w:cstheme="minorEastAsia"/>
                <w:b/>
                <w:bCs/>
                <w:kern w:val="0"/>
                <w:sz w:val="24"/>
                <w:szCs w:val="24"/>
                <w:vertAlign w:val="baseline"/>
                <w:lang w:val="zh-CN"/>
              </w:rPr>
            </w:pPr>
            <w:r>
              <w:rPr>
                <w:rFonts w:hint="eastAsia" w:asciiTheme="minorEastAsia" w:hAnsiTheme="minorEastAsia" w:eastAsiaTheme="minorEastAsia" w:cstheme="minorEastAsia"/>
                <w:b/>
                <w:bCs/>
                <w:kern w:val="0"/>
                <w:sz w:val="24"/>
                <w:szCs w:val="24"/>
                <w:vertAlign w:val="baseline"/>
                <w:lang w:val="zh-CN"/>
              </w:rPr>
              <w:t>报价方式</w:t>
            </w:r>
          </w:p>
        </w:tc>
        <w:tc>
          <w:tcPr>
            <w:tcW w:w="1419" w:type="dxa"/>
          </w:tcPr>
          <w:p>
            <w:pPr>
              <w:spacing w:line="360" w:lineRule="auto"/>
              <w:jc w:val="center"/>
              <w:rPr>
                <w:rFonts w:hint="eastAsia" w:asciiTheme="minorEastAsia" w:hAnsiTheme="minorEastAsia" w:eastAsiaTheme="minorEastAsia" w:cstheme="minorEastAsia"/>
                <w:b/>
                <w:bCs/>
                <w:kern w:val="0"/>
                <w:sz w:val="24"/>
                <w:szCs w:val="24"/>
                <w:vertAlign w:val="baseline"/>
                <w:lang w:val="zh-CN"/>
              </w:rPr>
            </w:pPr>
            <w:r>
              <w:rPr>
                <w:rFonts w:hint="eastAsia" w:asciiTheme="minorEastAsia" w:hAnsiTheme="minorEastAsia" w:eastAsiaTheme="minorEastAsia" w:cstheme="minorEastAsia"/>
                <w:b/>
                <w:bCs/>
                <w:kern w:val="0"/>
                <w:sz w:val="24"/>
                <w:szCs w:val="24"/>
                <w:vertAlign w:val="baseline"/>
                <w:lang w:val="zh-CN"/>
              </w:rPr>
              <w:t>最高限价</w:t>
            </w:r>
          </w:p>
        </w:tc>
        <w:tc>
          <w:tcPr>
            <w:tcW w:w="1420" w:type="dxa"/>
          </w:tcPr>
          <w:p>
            <w:pPr>
              <w:spacing w:line="360" w:lineRule="auto"/>
              <w:jc w:val="center"/>
              <w:rPr>
                <w:rFonts w:hint="eastAsia" w:asciiTheme="minorEastAsia" w:hAnsiTheme="minorEastAsia" w:eastAsiaTheme="minorEastAsia" w:cstheme="minorEastAsia"/>
                <w:b/>
                <w:bCs/>
                <w:kern w:val="0"/>
                <w:sz w:val="24"/>
                <w:szCs w:val="24"/>
                <w:vertAlign w:val="baseline"/>
                <w:lang w:val="zh-CN"/>
              </w:rPr>
            </w:pPr>
            <w:r>
              <w:rPr>
                <w:rFonts w:hint="eastAsia" w:asciiTheme="minorEastAsia" w:hAnsiTheme="minorEastAsia" w:eastAsiaTheme="minorEastAsia" w:cstheme="minorEastAsia"/>
                <w:b/>
                <w:bCs/>
                <w:kern w:val="0"/>
                <w:sz w:val="24"/>
                <w:szCs w:val="24"/>
                <w:vertAlign w:val="baseline"/>
                <w:lang w:val="zh-CN"/>
              </w:rPr>
              <w:t>下浮价</w:t>
            </w:r>
          </w:p>
        </w:tc>
        <w:tc>
          <w:tcPr>
            <w:tcW w:w="1420" w:type="dxa"/>
          </w:tcPr>
          <w:p>
            <w:pPr>
              <w:spacing w:line="360" w:lineRule="auto"/>
              <w:jc w:val="center"/>
              <w:rPr>
                <w:rFonts w:hint="eastAsia" w:asciiTheme="minorEastAsia" w:hAnsiTheme="minorEastAsia" w:eastAsiaTheme="minorEastAsia" w:cstheme="minorEastAsia"/>
                <w:b/>
                <w:bCs/>
                <w:kern w:val="0"/>
                <w:sz w:val="24"/>
                <w:szCs w:val="24"/>
                <w:vertAlign w:val="baseline"/>
                <w:lang w:val="zh-CN"/>
              </w:rPr>
            </w:pPr>
            <w:r>
              <w:rPr>
                <w:rFonts w:hint="eastAsia" w:asciiTheme="minorEastAsia" w:hAnsiTheme="minorEastAsia" w:eastAsiaTheme="minorEastAsia" w:cstheme="minorEastAsia"/>
                <w:b/>
                <w:bCs/>
                <w:kern w:val="0"/>
                <w:sz w:val="24"/>
                <w:szCs w:val="24"/>
                <w:vertAlign w:val="baseline"/>
                <w:lang w:val="zh-CN"/>
              </w:rPr>
              <w:t>报价价格</w:t>
            </w:r>
          </w:p>
        </w:tc>
        <w:tc>
          <w:tcPr>
            <w:tcW w:w="1420" w:type="dxa"/>
          </w:tcPr>
          <w:p>
            <w:pPr>
              <w:spacing w:line="360" w:lineRule="auto"/>
              <w:jc w:val="center"/>
              <w:rPr>
                <w:rFonts w:hint="eastAsia" w:asciiTheme="minorEastAsia" w:hAnsiTheme="minorEastAsia" w:eastAsiaTheme="minorEastAsia" w:cstheme="minorEastAsia"/>
                <w:b/>
                <w:bCs/>
                <w:kern w:val="0"/>
                <w:sz w:val="24"/>
                <w:szCs w:val="24"/>
                <w:vertAlign w:val="baseline"/>
                <w:lang w:val="zh-CN"/>
              </w:rPr>
            </w:pPr>
            <w:r>
              <w:rPr>
                <w:rFonts w:hint="eastAsia" w:asciiTheme="minorEastAsia" w:hAnsiTheme="minorEastAsia" w:eastAsiaTheme="minorEastAsia" w:cstheme="minorEastAsia"/>
                <w:b/>
                <w:bCs/>
                <w:kern w:val="0"/>
                <w:sz w:val="24"/>
                <w:szCs w:val="24"/>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2024年直购电采购项目</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2024年4月至2026年12月直购电采购项目水电价</w:t>
            </w: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0.2782元/千瓦时</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kern w:val="0"/>
                <w:sz w:val="24"/>
                <w:szCs w:val="24"/>
                <w:vertAlign w:val="baseline"/>
                <w:lang w:val="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kern w:val="0"/>
                <w:sz w:val="24"/>
                <w:szCs w:val="24"/>
                <w:vertAlign w:val="baseline"/>
                <w:lang w:val="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kern w:val="0"/>
                <w:sz w:val="24"/>
                <w:szCs w:val="24"/>
                <w:vertAlign w:val="baseline"/>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pStyle w:val="3"/>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B7625FD"/>
    <w:rsid w:val="151B3CF1"/>
    <w:rsid w:val="156C442B"/>
    <w:rsid w:val="164A3328"/>
    <w:rsid w:val="18934843"/>
    <w:rsid w:val="1CE86C7E"/>
    <w:rsid w:val="1F281065"/>
    <w:rsid w:val="207665B0"/>
    <w:rsid w:val="2A3D587C"/>
    <w:rsid w:val="2E6C60DE"/>
    <w:rsid w:val="32CE278C"/>
    <w:rsid w:val="342C36FD"/>
    <w:rsid w:val="361D455A"/>
    <w:rsid w:val="3C9E34DC"/>
    <w:rsid w:val="3ED12F12"/>
    <w:rsid w:val="3FF0557C"/>
    <w:rsid w:val="40B76AC1"/>
    <w:rsid w:val="43CB5064"/>
    <w:rsid w:val="46364AC0"/>
    <w:rsid w:val="4E023FB5"/>
    <w:rsid w:val="505676E2"/>
    <w:rsid w:val="50863A39"/>
    <w:rsid w:val="51AE7FC3"/>
    <w:rsid w:val="555B6681"/>
    <w:rsid w:val="58CA6D6C"/>
    <w:rsid w:val="590F06B1"/>
    <w:rsid w:val="5A42692C"/>
    <w:rsid w:val="62705B39"/>
    <w:rsid w:val="6639773D"/>
    <w:rsid w:val="66A27E8C"/>
    <w:rsid w:val="66F0488D"/>
    <w:rsid w:val="6DB45476"/>
    <w:rsid w:val="6FB14B2A"/>
    <w:rsid w:val="6FB6011E"/>
    <w:rsid w:val="70115646"/>
    <w:rsid w:val="733D427B"/>
    <w:rsid w:val="74CB3468"/>
    <w:rsid w:val="77EE40FA"/>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4"/>
    <w:autoRedefine/>
    <w:qFormat/>
    <w:uiPriority w:val="99"/>
    <w:pPr>
      <w:spacing w:after="120"/>
    </w:pPr>
    <w:rPr>
      <w:szCs w:val="24"/>
    </w:rPr>
  </w:style>
  <w:style w:type="paragraph" w:styleId="3">
    <w:name w:val="Body Text First Indent"/>
    <w:basedOn w:val="2"/>
    <w:link w:val="28"/>
    <w:autoRedefine/>
    <w:unhideWhenUsed/>
    <w:qFormat/>
    <w:uiPriority w:val="99"/>
    <w:pPr>
      <w:ind w:firstLine="420" w:firstLineChars="100"/>
    </w:pPr>
  </w:style>
  <w:style w:type="paragraph" w:styleId="4">
    <w:name w:val="Normal Indent"/>
    <w:basedOn w:val="1"/>
    <w:link w:val="21"/>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6"/>
    <w:autoRedefine/>
    <w:semiHidden/>
    <w:unhideWhenUsed/>
    <w:qFormat/>
    <w:uiPriority w:val="99"/>
    <w:pPr>
      <w:jc w:val="left"/>
    </w:pPr>
  </w:style>
  <w:style w:type="paragraph" w:styleId="6">
    <w:name w:val="Body Text Indent"/>
    <w:basedOn w:val="1"/>
    <w:autoRedefine/>
    <w:qFormat/>
    <w:uiPriority w:val="0"/>
    <w:pPr>
      <w:spacing w:line="480" w:lineRule="auto"/>
      <w:ind w:firstLine="600"/>
    </w:pPr>
    <w:rPr>
      <w:sz w:val="28"/>
    </w:rPr>
  </w:style>
  <w:style w:type="paragraph" w:styleId="7">
    <w:name w:val="Plain Text"/>
    <w:basedOn w:val="1"/>
    <w:autoRedefine/>
    <w:qFormat/>
    <w:uiPriority w:val="0"/>
    <w:pPr>
      <w:spacing w:line="360" w:lineRule="auto"/>
    </w:pPr>
    <w:rPr>
      <w:rFonts w:ascii="宋体" w:hAnsi="Courier New"/>
      <w:sz w:val="24"/>
    </w:rPr>
  </w:style>
  <w:style w:type="paragraph" w:styleId="8">
    <w:name w:val="Balloon Text"/>
    <w:basedOn w:val="1"/>
    <w:link w:val="20"/>
    <w:autoRedefine/>
    <w:semiHidden/>
    <w:unhideWhenUsed/>
    <w:qFormat/>
    <w:uiPriority w:val="99"/>
    <w:rPr>
      <w:sz w:val="18"/>
      <w:szCs w:val="18"/>
    </w:rPr>
  </w:style>
  <w:style w:type="paragraph" w:styleId="9">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7"/>
    <w:autoRedefine/>
    <w:semiHidden/>
    <w:unhideWhenUsed/>
    <w:qFormat/>
    <w:uiPriority w:val="99"/>
    <w:rPr>
      <w:b/>
      <w:bCs/>
    </w:rPr>
  </w:style>
  <w:style w:type="paragraph" w:styleId="12">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annotation reference"/>
    <w:basedOn w:val="15"/>
    <w:autoRedefine/>
    <w:semiHidden/>
    <w:unhideWhenUsed/>
    <w:qFormat/>
    <w:uiPriority w:val="99"/>
    <w:rPr>
      <w:sz w:val="21"/>
      <w:szCs w:val="21"/>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link w:val="22"/>
    <w:autoRedefine/>
    <w:qFormat/>
    <w:uiPriority w:val="0"/>
    <w:pPr>
      <w:ind w:firstLine="420" w:firstLineChars="200"/>
    </w:pPr>
  </w:style>
  <w:style w:type="character" w:customStyle="1" w:styleId="20">
    <w:name w:val="批注框文本 Char"/>
    <w:basedOn w:val="15"/>
    <w:link w:val="8"/>
    <w:autoRedefine/>
    <w:semiHidden/>
    <w:qFormat/>
    <w:uiPriority w:val="99"/>
    <w:rPr>
      <w:sz w:val="18"/>
      <w:szCs w:val="18"/>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列出段落 Char"/>
    <w:link w:val="19"/>
    <w:autoRedefine/>
    <w:qFormat/>
    <w:uiPriority w:val="0"/>
  </w:style>
  <w:style w:type="paragraph" w:customStyle="1" w:styleId="23">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2"/>
    <w:autoRedefine/>
    <w:qFormat/>
    <w:locked/>
    <w:uiPriority w:val="99"/>
    <w:rPr>
      <w:szCs w:val="24"/>
    </w:rPr>
  </w:style>
  <w:style w:type="character" w:customStyle="1" w:styleId="25">
    <w:name w:val="正文文本 Char1"/>
    <w:basedOn w:val="15"/>
    <w:autoRedefine/>
    <w:semiHidden/>
    <w:qFormat/>
    <w:uiPriority w:val="99"/>
  </w:style>
  <w:style w:type="character" w:customStyle="1" w:styleId="26">
    <w:name w:val="批注文字 Char"/>
    <w:basedOn w:val="15"/>
    <w:link w:val="5"/>
    <w:autoRedefine/>
    <w:semiHidden/>
    <w:qFormat/>
    <w:uiPriority w:val="99"/>
  </w:style>
  <w:style w:type="character" w:customStyle="1" w:styleId="27">
    <w:name w:val="批注主题 Char"/>
    <w:basedOn w:val="26"/>
    <w:link w:val="11"/>
    <w:autoRedefine/>
    <w:semiHidden/>
    <w:qFormat/>
    <w:uiPriority w:val="99"/>
    <w:rPr>
      <w:b/>
      <w:bCs/>
    </w:rPr>
  </w:style>
  <w:style w:type="character" w:customStyle="1" w:styleId="28">
    <w:name w:val="正文首行缩进 Char"/>
    <w:link w:val="3"/>
    <w:autoRedefine/>
    <w:qFormat/>
    <w:uiPriority w:val="0"/>
    <w:rPr>
      <w:rFonts w:hint="default" w:ascii="Calibri" w:hAnsi="Calibri" w:eastAsia="宋体" w:cs="Times New Roman"/>
      <w:kern w:val="2"/>
      <w:sz w:val="21"/>
      <w:szCs w:val="22"/>
    </w:rPr>
  </w:style>
  <w:style w:type="paragraph" w:customStyle="1" w:styleId="29">
    <w:name w:val="Table Paragraph"/>
    <w:basedOn w:val="1"/>
    <w:autoRedefine/>
    <w:qFormat/>
    <w:uiPriority w:val="99"/>
    <w:rPr>
      <w:rFonts w:ascii="宋体" w:hAnsi="宋体" w:cs="宋体"/>
      <w:lang w:val="zh-CN"/>
    </w:rPr>
  </w:style>
  <w:style w:type="character" w:customStyle="1" w:styleId="30">
    <w:name w:val="页眉 Char"/>
    <w:basedOn w:val="15"/>
    <w:link w:val="10"/>
    <w:autoRedefine/>
    <w:semiHidden/>
    <w:qFormat/>
    <w:uiPriority w:val="99"/>
    <w:rPr>
      <w:rFonts w:asciiTheme="minorHAnsi" w:hAnsiTheme="minorHAnsi" w:eastAsiaTheme="minorEastAsia" w:cstheme="minorBidi"/>
      <w:kern w:val="2"/>
      <w:sz w:val="18"/>
      <w:szCs w:val="18"/>
    </w:rPr>
  </w:style>
  <w:style w:type="character" w:customStyle="1" w:styleId="31">
    <w:name w:val="页脚 Char"/>
    <w:basedOn w:val="15"/>
    <w:link w:val="9"/>
    <w:autoRedefine/>
    <w:semiHidden/>
    <w:qFormat/>
    <w:uiPriority w:val="99"/>
    <w:rPr>
      <w:rFonts w:asciiTheme="minorHAnsi" w:hAnsiTheme="minorHAnsi" w:eastAsiaTheme="minorEastAsia" w:cstheme="minorBidi"/>
      <w:kern w:val="2"/>
      <w:sz w:val="18"/>
      <w:szCs w:val="18"/>
    </w:rPr>
  </w:style>
  <w:style w:type="paragraph" w:customStyle="1" w:styleId="32">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361</TotalTime>
  <ScaleCrop>false</ScaleCrop>
  <LinksUpToDate>false</LinksUpToDate>
  <CharactersWithSpaces>7012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李好</cp:lastModifiedBy>
  <cp:lastPrinted>2021-10-12T08:20:00Z</cp:lastPrinted>
  <dcterms:modified xsi:type="dcterms:W3CDTF">2024-03-07T09:43:32Z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D2CD5679B1544A6680DEB91BF83B5D97</vt:lpwstr>
  </property>
</Properties>
</file>