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7D" w:rsidRDefault="004C76E4">
      <w:pPr>
        <w:spacing w:line="6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资阳市雁江区人民医院</w:t>
      </w:r>
    </w:p>
    <w:p w:rsidR="00B0577D" w:rsidRDefault="004C76E4">
      <w:pPr>
        <w:spacing w:line="6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医用冷藏箱询价采购需求</w:t>
      </w:r>
    </w:p>
    <w:p w:rsidR="00B0577D" w:rsidRDefault="00B0577D">
      <w:pPr>
        <w:pStyle w:val="BodyText"/>
      </w:pPr>
    </w:p>
    <w:p w:rsidR="00B0577D" w:rsidRDefault="004C76E4">
      <w:pPr>
        <w:pStyle w:val="ae"/>
        <w:spacing w:line="360" w:lineRule="auto"/>
        <w:ind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一、技术、功能要求及其他相关要求</w:t>
      </w:r>
    </w:p>
    <w:p w:rsidR="00B0577D" w:rsidRDefault="004C76E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本项目最高限价</w:t>
      </w: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万元。</w:t>
      </w:r>
    </w:p>
    <w:p w:rsidR="00B0577D" w:rsidRDefault="004C76E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采购内容</w:t>
      </w:r>
    </w:p>
    <w:tbl>
      <w:tblPr>
        <w:tblStyle w:val="ac"/>
        <w:tblpPr w:leftFromText="180" w:rightFromText="180" w:vertAnchor="text" w:horzAnchor="page" w:tblpXSpec="center" w:tblpY="275"/>
        <w:tblOverlap w:val="never"/>
        <w:tblW w:w="4724" w:type="pct"/>
        <w:jc w:val="center"/>
        <w:tblLayout w:type="fixed"/>
        <w:tblLook w:val="04A0"/>
      </w:tblPr>
      <w:tblGrid>
        <w:gridCol w:w="598"/>
        <w:gridCol w:w="1779"/>
        <w:gridCol w:w="3968"/>
        <w:gridCol w:w="567"/>
        <w:gridCol w:w="546"/>
        <w:gridCol w:w="594"/>
      </w:tblGrid>
      <w:tr w:rsidR="00B0577D">
        <w:trPr>
          <w:trHeight w:val="1196"/>
          <w:jc w:val="center"/>
        </w:trPr>
        <w:tc>
          <w:tcPr>
            <w:tcW w:w="371" w:type="pct"/>
            <w:noWrap/>
            <w:vAlign w:val="center"/>
          </w:tcPr>
          <w:p w:rsidR="00B0577D" w:rsidRDefault="004C76E4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5" w:type="pct"/>
            <w:noWrap/>
            <w:vAlign w:val="center"/>
          </w:tcPr>
          <w:p w:rsidR="00B0577D" w:rsidRDefault="004C76E4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2464" w:type="pct"/>
            <w:noWrap/>
            <w:vAlign w:val="center"/>
          </w:tcPr>
          <w:p w:rsidR="00B0577D" w:rsidRDefault="004C76E4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352" w:type="pct"/>
            <w:noWrap/>
            <w:vAlign w:val="center"/>
          </w:tcPr>
          <w:p w:rsidR="00B0577D" w:rsidRDefault="004C76E4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339" w:type="pct"/>
            <w:noWrap/>
            <w:vAlign w:val="center"/>
          </w:tcPr>
          <w:p w:rsidR="00B0577D" w:rsidRDefault="004C76E4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369" w:type="pct"/>
            <w:noWrap/>
            <w:vAlign w:val="center"/>
          </w:tcPr>
          <w:p w:rsidR="00B0577D" w:rsidRDefault="004C76E4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B0577D">
        <w:trPr>
          <w:trHeight w:val="432"/>
          <w:jc w:val="center"/>
        </w:trPr>
        <w:tc>
          <w:tcPr>
            <w:tcW w:w="371" w:type="pct"/>
            <w:noWrap/>
            <w:vAlign w:val="center"/>
          </w:tcPr>
          <w:p w:rsidR="00B0577D" w:rsidRDefault="004C76E4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05" w:type="pct"/>
            <w:noWrap/>
            <w:vAlign w:val="center"/>
          </w:tcPr>
          <w:p w:rsidR="00B0577D" w:rsidRDefault="004C76E4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医用冷藏箱</w:t>
            </w:r>
          </w:p>
        </w:tc>
        <w:tc>
          <w:tcPr>
            <w:tcW w:w="2464" w:type="pct"/>
            <w:noWrap/>
            <w:vAlign w:val="center"/>
          </w:tcPr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门体：采用立式单门设计，自关门功能。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市电供电，微电脑控制，箱内温度恒定控制在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℃范围内，控温精度</w:t>
            </w:r>
            <w:r>
              <w:rPr>
                <w:rFonts w:ascii="宋体" w:hAnsi="宋体" w:hint="eastAsia"/>
              </w:rPr>
              <w:t>0.1</w:t>
            </w:r>
            <w:r>
              <w:rPr>
                <w:rFonts w:ascii="宋体" w:hAnsi="宋体" w:hint="eastAsia"/>
              </w:rPr>
              <w:t>°</w:t>
            </w:r>
            <w:r>
              <w:rPr>
                <w:rFonts w:ascii="宋体" w:hAnsi="宋体" w:hint="eastAsia"/>
              </w:rPr>
              <w:t>C</w:t>
            </w:r>
            <w:r>
              <w:rPr>
                <w:rFonts w:ascii="宋体" w:hAnsi="宋体" w:hint="eastAsia"/>
              </w:rPr>
              <w:t>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显示：</w:t>
            </w:r>
            <w:r>
              <w:rPr>
                <w:rFonts w:ascii="宋体" w:hAnsi="宋体" w:hint="eastAsia"/>
              </w:rPr>
              <w:t>LED</w:t>
            </w:r>
            <w:r>
              <w:rPr>
                <w:rFonts w:ascii="宋体" w:hAnsi="宋体" w:hint="eastAsia"/>
              </w:rPr>
              <w:t>数码管显示，显示箱内上下温传感器温度，平均温度，可通过指示灯查看电源，</w:t>
            </w:r>
            <w:r>
              <w:rPr>
                <w:rFonts w:ascii="宋体" w:hAnsi="宋体" w:hint="eastAsia"/>
              </w:rPr>
              <w:t>NFC</w:t>
            </w:r>
            <w:r>
              <w:rPr>
                <w:rFonts w:ascii="宋体" w:hAnsi="宋体" w:hint="eastAsia"/>
              </w:rPr>
              <w:t>，开门，冷凝器脏状态。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风冷设计，保证箱内任意角落的温度都维持在标定的温度范围内，同时增加测试孔设计，满足采购人根据实际需要检测箱内温度。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</w:t>
            </w:r>
            <w:r>
              <w:rPr>
                <w:rFonts w:ascii="宋体" w:hAnsi="宋体" w:hint="eastAsia"/>
              </w:rPr>
              <w:t>多种故障报警：至少包括高低温报警、断电报警、开门报警、传感器故障报警、电池电量低报警等。报警方式：灯光报警。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</w:t>
            </w:r>
            <w:r>
              <w:rPr>
                <w:rFonts w:ascii="宋体" w:hAnsi="宋体" w:hint="eastAsia"/>
              </w:rPr>
              <w:t>多重保护功能：至少包含开机延时保护、停机间隔保护、显示面板密码</w:t>
            </w:r>
            <w:r>
              <w:rPr>
                <w:rFonts w:ascii="宋体" w:hAnsi="宋体" w:hint="eastAsia"/>
              </w:rPr>
              <w:lastRenderedPageBreak/>
              <w:t>保护、断电记忆数据保护、传感器故障保护运行等。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7.</w:t>
            </w:r>
            <w:r>
              <w:rPr>
                <w:rFonts w:ascii="宋体" w:hAnsi="宋体" w:hint="eastAsia"/>
              </w:rPr>
              <w:t>冷凝水汇集后自动电加热蒸发，免除人工处理冷凝水的烦恼。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8. </w:t>
            </w:r>
            <w:r>
              <w:rPr>
                <w:rFonts w:ascii="宋体" w:hAnsi="宋体" w:hint="eastAsia"/>
              </w:rPr>
              <w:t>具有远程报警功能，可连接报警器到其他房间实现报警功能，具有</w:t>
            </w:r>
            <w:r>
              <w:rPr>
                <w:rFonts w:ascii="宋体" w:hAnsi="宋体" w:hint="eastAsia"/>
              </w:rPr>
              <w:t>RS485</w:t>
            </w:r>
            <w:r>
              <w:rPr>
                <w:rFonts w:ascii="宋体" w:hAnsi="宋体" w:hint="eastAsia"/>
              </w:rPr>
              <w:t>网络接口，连接后可以将温度数据</w:t>
            </w:r>
            <w:r>
              <w:rPr>
                <w:rFonts w:ascii="宋体" w:hAnsi="宋体" w:hint="eastAsia"/>
              </w:rPr>
              <w:t>传输到采购人监控软件端。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9. </w:t>
            </w:r>
            <w:r>
              <w:rPr>
                <w:rFonts w:ascii="宋体" w:hAnsi="宋体" w:hint="eastAsia"/>
              </w:rPr>
              <w:t>配备四个脚轮，两个底脚；灵活，可移动、可通过底脚锁定。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</w:t>
            </w:r>
            <w:r>
              <w:rPr>
                <w:rFonts w:ascii="宋体" w:hAnsi="宋体" w:hint="eastAsia"/>
              </w:rPr>
              <w:t>压缩机：车载专用进口直流压缩机，制冷迅速（常温下空载</w:t>
            </w:r>
            <w:r>
              <w:rPr>
                <w:rFonts w:ascii="宋体" w:hAnsi="宋体" w:hint="eastAsia"/>
              </w:rPr>
              <w:t>30</w:t>
            </w:r>
            <w:r>
              <w:rPr>
                <w:rFonts w:ascii="宋体" w:hAnsi="宋体" w:hint="eastAsia"/>
              </w:rPr>
              <w:t>分钟可降至设定温度），高可靠性（移动运输制冷设备专用），高效节能，低噪音，使用寿命长。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11.</w:t>
            </w:r>
            <w:r>
              <w:rPr>
                <w:rFonts w:ascii="宋体" w:hAnsi="宋体" w:hint="eastAsia"/>
              </w:rPr>
              <w:t>冷凝风机：冷凝调速风机，高效节能，低噪音，使用寿命长。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12. </w:t>
            </w:r>
            <w:r>
              <w:rPr>
                <w:rFonts w:ascii="宋体" w:hAnsi="宋体" w:hint="eastAsia"/>
              </w:rPr>
              <w:t>噪声低于国家标准，声压级≤</w:t>
            </w:r>
            <w:r>
              <w:rPr>
                <w:rFonts w:ascii="宋体" w:hAnsi="宋体" w:hint="eastAsia"/>
              </w:rPr>
              <w:t>41dB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）。有效容积≥</w:t>
            </w:r>
            <w:r>
              <w:rPr>
                <w:rFonts w:ascii="宋体" w:hAnsi="宋体" w:hint="eastAsia"/>
              </w:rPr>
              <w:t>270L</w:t>
            </w:r>
            <w:r>
              <w:rPr>
                <w:rFonts w:ascii="宋体" w:hAnsi="宋体" w:hint="eastAsia"/>
              </w:rPr>
              <w:t>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13.</w:t>
            </w:r>
            <w:r>
              <w:rPr>
                <w:rFonts w:ascii="宋体" w:hAnsi="宋体" w:hint="eastAsia"/>
              </w:rPr>
              <w:t>不锈钢内胆设计，防腐可靠。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14.</w:t>
            </w:r>
            <w:r>
              <w:rPr>
                <w:rFonts w:ascii="宋体" w:hAnsi="宋体" w:hint="eastAsia"/>
              </w:rPr>
              <w:t>门体机械锁，带独立锁扣，方便使用。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15.</w:t>
            </w:r>
            <w:r>
              <w:rPr>
                <w:rFonts w:ascii="宋体" w:hAnsi="宋体" w:hint="eastAsia"/>
              </w:rPr>
              <w:t>后备电池设计，满足断电后报警并继续显示箱内实时温度需求。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16.</w:t>
            </w:r>
            <w:r>
              <w:rPr>
                <w:rFonts w:ascii="宋体" w:hAnsi="宋体" w:hint="eastAsia"/>
              </w:rPr>
              <w:t>箱内至少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个高精度传感器，环境温湿度传感器可显示环境温湿度。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17.</w:t>
            </w:r>
            <w:r>
              <w:rPr>
                <w:rFonts w:ascii="宋体" w:hAnsi="宋体" w:hint="eastAsia"/>
              </w:rPr>
              <w:t>防低温设计：防低温机械温控器，电控板故障时可直接控制压机开停，防止温低影响血液安全。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18.</w:t>
            </w:r>
            <w:r>
              <w:rPr>
                <w:rFonts w:ascii="宋体" w:hAnsi="宋体" w:hint="eastAsia"/>
              </w:rPr>
              <w:t>箱内设置</w:t>
            </w:r>
            <w:r>
              <w:rPr>
                <w:rFonts w:ascii="宋体" w:hAnsi="宋体" w:hint="eastAsia"/>
              </w:rPr>
              <w:t>LED</w:t>
            </w:r>
            <w:r>
              <w:rPr>
                <w:rFonts w:ascii="宋体" w:hAnsi="宋体" w:hint="eastAsia"/>
              </w:rPr>
              <w:t>照明灯，外部独立灯开关。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19.</w:t>
            </w:r>
            <w:r>
              <w:rPr>
                <w:rFonts w:ascii="宋体" w:hAnsi="宋体" w:hint="eastAsia"/>
              </w:rPr>
              <w:t>标配</w:t>
            </w:r>
            <w:r>
              <w:rPr>
                <w:rFonts w:ascii="宋体" w:hAnsi="宋体" w:hint="eastAsia"/>
              </w:rPr>
              <w:t>USB</w:t>
            </w:r>
            <w:r>
              <w:rPr>
                <w:rFonts w:ascii="宋体" w:hAnsi="宋体" w:hint="eastAsia"/>
              </w:rPr>
              <w:t>接口，可下载温度数据，报警记录等信息</w:t>
            </w:r>
            <w:r>
              <w:rPr>
                <w:rFonts w:ascii="宋体" w:hAnsi="宋体" w:cs="宋体" w:hint="eastAsia"/>
              </w:rPr>
              <w:t>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20.</w:t>
            </w:r>
            <w:r>
              <w:rPr>
                <w:rFonts w:ascii="宋体" w:hAnsi="宋体" w:hint="eastAsia"/>
              </w:rPr>
              <w:t>蘸塑搁架≥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个，蘸塑血筐≥</w:t>
            </w:r>
            <w:r>
              <w:rPr>
                <w:rFonts w:ascii="宋体" w:hAnsi="宋体" w:hint="eastAsia"/>
              </w:rPr>
              <w:t>15</w:t>
            </w:r>
            <w:r>
              <w:rPr>
                <w:rFonts w:ascii="宋体" w:hAnsi="宋体" w:hint="eastAsia"/>
              </w:rPr>
              <w:t>个，内门≥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个，可减小开门取血的冷量散失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B0577D" w:rsidRDefault="004C76E4">
            <w:pPr>
              <w:widowControl/>
              <w:spacing w:line="48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21.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生产厂家通过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ISO9001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系列质量体系认证、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ISO14001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环境体系认证，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符合国家相关质量管理标准，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产品质量合格证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，具有医疗器械生产许可证。</w:t>
            </w:r>
          </w:p>
        </w:tc>
        <w:tc>
          <w:tcPr>
            <w:tcW w:w="352" w:type="pct"/>
            <w:noWrap/>
            <w:vAlign w:val="center"/>
          </w:tcPr>
          <w:p w:rsidR="00B0577D" w:rsidRDefault="004C76E4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" w:type="pct"/>
            <w:noWrap/>
            <w:vAlign w:val="center"/>
          </w:tcPr>
          <w:p w:rsidR="00B0577D" w:rsidRDefault="004C76E4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台</w:t>
            </w:r>
          </w:p>
        </w:tc>
        <w:tc>
          <w:tcPr>
            <w:tcW w:w="369" w:type="pct"/>
            <w:noWrap/>
            <w:vAlign w:val="center"/>
          </w:tcPr>
          <w:p w:rsidR="00B0577D" w:rsidRDefault="00B0577D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 w:rsidR="00B0577D">
        <w:trPr>
          <w:trHeight w:val="432"/>
          <w:jc w:val="center"/>
        </w:trPr>
        <w:tc>
          <w:tcPr>
            <w:tcW w:w="371" w:type="pct"/>
            <w:noWrap/>
            <w:vAlign w:val="center"/>
          </w:tcPr>
          <w:p w:rsidR="00B0577D" w:rsidRDefault="004C76E4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5" w:type="pct"/>
            <w:noWrap/>
            <w:vAlign w:val="center"/>
          </w:tcPr>
          <w:p w:rsidR="00B0577D" w:rsidRDefault="004C76E4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4G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智能温湿度记录仪</w:t>
            </w:r>
          </w:p>
        </w:tc>
        <w:tc>
          <w:tcPr>
            <w:tcW w:w="2464" w:type="pct"/>
            <w:noWrap/>
            <w:vAlign w:val="center"/>
          </w:tcPr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采集模块测试范围：</w:t>
            </w:r>
            <w:r>
              <w:rPr>
                <w:rFonts w:ascii="宋体" w:eastAsia="宋体" w:hAnsi="宋体" w:cs="宋体" w:hint="eastAsia"/>
                <w:sz w:val="24"/>
              </w:rPr>
              <w:t>-40</w:t>
            </w:r>
            <w:r>
              <w:rPr>
                <w:rFonts w:ascii="宋体" w:eastAsia="宋体" w:hAnsi="宋体" w:cs="宋体" w:hint="eastAsia"/>
                <w:sz w:val="24"/>
              </w:rPr>
              <w:t>℃到</w:t>
            </w:r>
            <w:r>
              <w:rPr>
                <w:rFonts w:ascii="宋体" w:eastAsia="宋体" w:hAnsi="宋体" w:cs="宋体" w:hint="eastAsia"/>
                <w:sz w:val="24"/>
              </w:rPr>
              <w:t>+80</w:t>
            </w:r>
            <w:r>
              <w:rPr>
                <w:rFonts w:ascii="宋体" w:eastAsia="宋体" w:hAnsi="宋体" w:cs="宋体" w:hint="eastAsia"/>
                <w:sz w:val="24"/>
              </w:rPr>
              <w:t>℃，精确度±</w:t>
            </w:r>
            <w:r>
              <w:rPr>
                <w:rFonts w:ascii="宋体" w:eastAsia="宋体" w:hAnsi="宋体" w:cs="宋体" w:hint="eastAsia"/>
                <w:sz w:val="24"/>
              </w:rPr>
              <w:t>0.3</w:t>
            </w:r>
            <w:r>
              <w:rPr>
                <w:rFonts w:ascii="宋体" w:eastAsia="宋体" w:hAnsi="宋体" w:cs="宋体" w:hint="eastAsia"/>
                <w:sz w:val="24"/>
              </w:rPr>
              <w:t>℃，探头防凝露。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4G</w:t>
            </w:r>
            <w:r>
              <w:rPr>
                <w:rFonts w:ascii="宋体" w:eastAsia="宋体" w:hAnsi="宋体" w:cs="宋体" w:hint="eastAsia"/>
                <w:sz w:val="24"/>
              </w:rPr>
              <w:t>采集模块发射信号将数据直接发送到互联网冷链云平台，显示</w:t>
            </w:r>
            <w:r>
              <w:rPr>
                <w:rFonts w:ascii="宋体" w:eastAsia="宋体" w:hAnsi="宋体" w:cs="宋体" w:hint="eastAsia"/>
                <w:sz w:val="24"/>
              </w:rPr>
              <w:t>4G</w:t>
            </w:r>
            <w:r>
              <w:rPr>
                <w:rFonts w:ascii="宋体" w:eastAsia="宋体" w:hAnsi="宋体" w:cs="宋体" w:hint="eastAsia"/>
                <w:sz w:val="24"/>
              </w:rPr>
              <w:t>型号。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采集模块具有</w:t>
            </w:r>
            <w:r>
              <w:rPr>
                <w:rFonts w:ascii="宋体" w:eastAsia="宋体" w:hAnsi="宋体" w:cs="宋体" w:hint="eastAsia"/>
                <w:sz w:val="24"/>
              </w:rPr>
              <w:t>LED</w:t>
            </w:r>
            <w:r>
              <w:rPr>
                <w:rFonts w:ascii="宋体" w:eastAsia="宋体" w:hAnsi="宋体" w:cs="宋体" w:hint="eastAsia"/>
                <w:sz w:val="24"/>
              </w:rPr>
              <w:t>屏≥</w:t>
            </w:r>
            <w:r>
              <w:rPr>
                <w:rFonts w:ascii="宋体" w:eastAsia="宋体" w:hAnsi="宋体" w:cs="宋体" w:hint="eastAsia"/>
                <w:sz w:val="24"/>
              </w:rPr>
              <w:t>2.5</w:t>
            </w:r>
            <w:r>
              <w:rPr>
                <w:rFonts w:ascii="宋体" w:eastAsia="宋体" w:hAnsi="宋体" w:cs="宋体" w:hint="eastAsia"/>
                <w:sz w:val="24"/>
              </w:rPr>
              <w:t>英寸。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</w:rPr>
              <w:t>板载存储芯片中级模块可存储大于</w:t>
            </w:r>
            <w:r>
              <w:rPr>
                <w:rFonts w:ascii="宋体" w:eastAsia="宋体" w:hAnsi="宋体" w:cs="宋体" w:hint="eastAsia"/>
                <w:sz w:val="24"/>
              </w:rPr>
              <w:t>30000</w:t>
            </w:r>
            <w:r>
              <w:rPr>
                <w:rFonts w:ascii="宋体" w:eastAsia="宋体" w:hAnsi="宋体" w:cs="宋体" w:hint="eastAsia"/>
                <w:sz w:val="24"/>
              </w:rPr>
              <w:t>条数据，在屏幕实时显示已经储存的数量，并可实现断点续传。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</w:t>
            </w:r>
            <w:r>
              <w:rPr>
                <w:rFonts w:ascii="宋体" w:eastAsia="宋体" w:hAnsi="宋体" w:cs="宋体" w:hint="eastAsia"/>
                <w:sz w:val="24"/>
              </w:rPr>
              <w:t>大容量后备电池，电池容量大于</w:t>
            </w:r>
            <w:r>
              <w:rPr>
                <w:rFonts w:ascii="宋体" w:eastAsia="宋体" w:hAnsi="宋体" w:cs="宋体" w:hint="eastAsia"/>
                <w:sz w:val="24"/>
              </w:rPr>
              <w:t>6000mAh</w:t>
            </w:r>
            <w:r>
              <w:rPr>
                <w:rFonts w:ascii="宋体" w:eastAsia="宋体" w:hAnsi="宋体" w:cs="宋体" w:hint="eastAsia"/>
                <w:sz w:val="24"/>
              </w:rPr>
              <w:t>，断电可用</w:t>
            </w:r>
            <w:r>
              <w:rPr>
                <w:rFonts w:ascii="宋体" w:eastAsia="宋体" w:hAnsi="宋体" w:cs="宋体" w:hint="eastAsia"/>
                <w:sz w:val="24"/>
              </w:rPr>
              <w:t>72</w:t>
            </w:r>
            <w:r>
              <w:rPr>
                <w:rFonts w:ascii="宋体" w:eastAsia="宋体" w:hAnsi="宋体" w:cs="宋体" w:hint="eastAsia"/>
                <w:sz w:val="24"/>
              </w:rPr>
              <w:t>小时以上，电池可充电，无需定期更换电池，外接</w:t>
            </w:r>
            <w:r>
              <w:rPr>
                <w:rFonts w:ascii="宋体" w:eastAsia="宋体" w:hAnsi="宋体" w:cs="宋体" w:hint="eastAsia"/>
                <w:sz w:val="24"/>
              </w:rPr>
              <w:t>5V</w:t>
            </w:r>
            <w:r>
              <w:rPr>
                <w:rFonts w:ascii="宋体" w:eastAsia="宋体" w:hAnsi="宋体" w:cs="宋体" w:hint="eastAsia"/>
                <w:sz w:val="24"/>
              </w:rPr>
              <w:t>电源。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6.</w:t>
            </w:r>
            <w:r>
              <w:rPr>
                <w:rFonts w:ascii="宋体" w:eastAsia="宋体" w:hAnsi="宋体" w:cs="宋体" w:hint="eastAsia"/>
                <w:sz w:val="24"/>
              </w:rPr>
              <w:t>显示屏具有背光灯，保证暗光环境数据清晰可见，并可手动关闭。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7.</w:t>
            </w:r>
            <w:r>
              <w:rPr>
                <w:rFonts w:ascii="宋体" w:eastAsia="宋体" w:hAnsi="宋体" w:cs="宋体" w:hint="eastAsia"/>
                <w:sz w:val="24"/>
              </w:rPr>
              <w:t>采集器具备现场声</w:t>
            </w:r>
            <w:r>
              <w:rPr>
                <w:rFonts w:ascii="宋体" w:eastAsia="宋体" w:hAnsi="宋体" w:cs="宋体" w:hint="eastAsia"/>
                <w:sz w:val="24"/>
              </w:rPr>
              <w:t>音报警功能，可手动关闭报警声。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8.</w:t>
            </w:r>
            <w:r>
              <w:rPr>
                <w:rFonts w:ascii="宋体" w:eastAsia="宋体" w:hAnsi="宋体" w:cs="宋体" w:hint="eastAsia"/>
                <w:sz w:val="24"/>
              </w:rPr>
              <w:t>单路探头，可以检测冰箱上部、下部温度。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9.</w:t>
            </w:r>
            <w:r>
              <w:rPr>
                <w:rFonts w:ascii="宋体" w:eastAsia="宋体" w:hAnsi="宋体" w:cs="宋体" w:hint="eastAsia"/>
                <w:sz w:val="24"/>
              </w:rPr>
              <w:t>软件系统基于</w:t>
            </w:r>
            <w:r>
              <w:rPr>
                <w:rFonts w:ascii="宋体" w:eastAsia="宋体" w:hAnsi="宋体" w:cs="宋体" w:hint="eastAsia"/>
                <w:sz w:val="24"/>
              </w:rPr>
              <w:t>B/S</w:t>
            </w:r>
            <w:r>
              <w:rPr>
                <w:rFonts w:ascii="宋体" w:eastAsia="宋体" w:hAnsi="宋体" w:cs="宋体" w:hint="eastAsia"/>
                <w:sz w:val="24"/>
              </w:rPr>
              <w:t>（浏览器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服务器）架构模式，可打开浏览器通过网页形式访问系统。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</w:t>
            </w:r>
            <w:r>
              <w:rPr>
                <w:rFonts w:ascii="宋体" w:eastAsia="宋体" w:hAnsi="宋体" w:cs="宋体" w:hint="eastAsia"/>
                <w:sz w:val="24"/>
              </w:rPr>
              <w:t>实时数据具备列表显示，历史数据可按“设备名称、规格型号、设备编号、起始时间及结束时间”等条件查询。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11. </w:t>
            </w:r>
            <w:r>
              <w:rPr>
                <w:rFonts w:ascii="宋体" w:eastAsia="宋体" w:hAnsi="宋体" w:cs="宋体" w:hint="eastAsia"/>
                <w:sz w:val="24"/>
              </w:rPr>
              <w:t>数据可以曲线图形式或统计报表形式呈现，曲线图或报表可导出电子版或打印。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12.</w:t>
            </w:r>
            <w:r>
              <w:rPr>
                <w:rFonts w:ascii="宋体" w:eastAsia="宋体" w:hAnsi="宋体" w:cs="宋体" w:hint="eastAsia"/>
                <w:sz w:val="24"/>
              </w:rPr>
              <w:t>具备大屏展示功能，屏幕在展示冰箱图片基础上展示对应冰箱温度数据。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13.</w:t>
            </w:r>
            <w:r>
              <w:rPr>
                <w:rFonts w:ascii="宋体" w:eastAsia="宋体" w:hAnsi="宋体" w:cs="宋体" w:hint="eastAsia"/>
                <w:sz w:val="24"/>
              </w:rPr>
              <w:t>登陆必须有相应授权，配备三级权限，不同权限可查看不同的冷链设备数据。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14.</w:t>
            </w:r>
            <w:r>
              <w:rPr>
                <w:rFonts w:ascii="宋体" w:eastAsia="宋体" w:hAnsi="宋体" w:cs="宋体" w:hint="eastAsia"/>
                <w:sz w:val="24"/>
              </w:rPr>
              <w:t>除数据超限报警外，服务器能监测到监控设备故障并报警，至少包含：传感器故障、设备通信故障、设备电源掉电等。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15.</w:t>
            </w:r>
            <w:r>
              <w:rPr>
                <w:rFonts w:ascii="宋体" w:eastAsia="宋体" w:hAnsi="宋体" w:cs="宋体" w:hint="eastAsia"/>
                <w:sz w:val="24"/>
              </w:rPr>
              <w:t>至少五种报警模式，如：音乐报警、短信报警、微信报警、电话报警、邮件报警等。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16.</w:t>
            </w:r>
            <w:r>
              <w:rPr>
                <w:rFonts w:ascii="宋体" w:eastAsia="宋体" w:hAnsi="宋体" w:cs="宋体" w:hint="eastAsia"/>
                <w:sz w:val="24"/>
              </w:rPr>
              <w:t>报警策略：可出现故障至少有三种报警模式，如：立刻报警、延时报警、分时段报警等，每个监测点可设置不同的接收人，可接收人数可设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人以上。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17.</w:t>
            </w:r>
            <w:r>
              <w:rPr>
                <w:rFonts w:ascii="宋体" w:eastAsia="宋体" w:hAnsi="宋体" w:cs="宋体" w:hint="eastAsia"/>
                <w:sz w:val="24"/>
              </w:rPr>
              <w:t>具备报警信息统计显示，含报警统计图表展示、根据分支点位置的地图形态展示；有报警原因备注的功能。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18.</w:t>
            </w:r>
            <w:r>
              <w:rPr>
                <w:rFonts w:ascii="宋体" w:eastAsia="宋体" w:hAnsi="宋体" w:cs="宋体" w:hint="eastAsia"/>
                <w:sz w:val="24"/>
              </w:rPr>
              <w:t>数据可通过微信和电脑客户端进行查询。</w:t>
            </w:r>
          </w:p>
          <w:p w:rsidR="00B0577D" w:rsidRDefault="004C76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19.</w:t>
            </w:r>
            <w:r>
              <w:rPr>
                <w:rFonts w:ascii="宋体" w:eastAsia="宋体" w:hAnsi="宋体" w:cs="宋体" w:hint="eastAsia"/>
                <w:sz w:val="24"/>
              </w:rPr>
              <w:t>具备数据库自动备份或手动</w:t>
            </w:r>
            <w:r>
              <w:rPr>
                <w:rFonts w:ascii="宋体" w:eastAsia="宋体" w:hAnsi="宋体" w:cs="宋体" w:hint="eastAsia"/>
                <w:sz w:val="24"/>
              </w:rPr>
              <w:t>备份功能，保证数据安全，所有与监测设备的交互以及系统操作全部有日志记录，可以追查历史操作记录。</w:t>
            </w:r>
          </w:p>
          <w:p w:rsidR="00B0577D" w:rsidRDefault="004C76E4">
            <w:pPr>
              <w:pStyle w:val="aa"/>
              <w:spacing w:before="0" w:beforeAutospacing="0" w:after="0" w:afterAutospacing="0" w:line="48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20</w:t>
            </w:r>
            <w:r>
              <w:rPr>
                <w:rFonts w:ascii="宋体" w:hAnsi="宋体" w:cs="宋体" w:hint="eastAsia"/>
              </w:rPr>
              <w:t>．厂家具备</w:t>
            </w:r>
            <w:r>
              <w:rPr>
                <w:rFonts w:ascii="宋体" w:hAnsi="宋体" w:cs="宋体" w:hint="eastAsia"/>
              </w:rPr>
              <w:t>ISO14001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ISO13485</w:t>
            </w:r>
            <w:r>
              <w:rPr>
                <w:rFonts w:ascii="宋体" w:hAnsi="宋体" w:cs="宋体" w:hint="eastAsia"/>
              </w:rPr>
              <w:t>认证并提供证书复印件。</w:t>
            </w:r>
          </w:p>
        </w:tc>
        <w:tc>
          <w:tcPr>
            <w:tcW w:w="352" w:type="pct"/>
            <w:noWrap/>
            <w:vAlign w:val="center"/>
          </w:tcPr>
          <w:p w:rsidR="00B0577D" w:rsidRDefault="004C76E4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" w:type="pct"/>
            <w:noWrap/>
            <w:vAlign w:val="center"/>
          </w:tcPr>
          <w:p w:rsidR="00B0577D" w:rsidRDefault="004C76E4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台</w:t>
            </w:r>
          </w:p>
        </w:tc>
        <w:tc>
          <w:tcPr>
            <w:tcW w:w="369" w:type="pct"/>
            <w:noWrap/>
            <w:vAlign w:val="center"/>
          </w:tcPr>
          <w:p w:rsidR="00B0577D" w:rsidRDefault="00B0577D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</w:tbl>
    <w:p w:rsidR="00B0577D" w:rsidRDefault="00B0577D">
      <w:pPr>
        <w:spacing w:line="360" w:lineRule="auto"/>
        <w:ind w:firstLineChars="200" w:firstLine="482"/>
        <w:rPr>
          <w:rFonts w:asciiTheme="minorEastAsia" w:hAnsiTheme="minorEastAsia"/>
          <w:b/>
          <w:bCs/>
          <w:color w:val="000000"/>
          <w:sz w:val="24"/>
        </w:rPr>
      </w:pPr>
    </w:p>
    <w:p w:rsidR="00B0577D" w:rsidRDefault="004C76E4">
      <w:pPr>
        <w:widowControl/>
        <w:autoSpaceDE w:val="0"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二、商务要求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  <w:szCs w:val="24"/>
        </w:rPr>
        <w:t>交付期限：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合同签订后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天内</w:t>
      </w:r>
      <w:r>
        <w:rPr>
          <w:rFonts w:asciiTheme="minorEastAsia" w:hAnsiTheme="minorEastAsia" w:cstheme="minorEastAsia" w:hint="eastAsia"/>
          <w:sz w:val="24"/>
          <w:szCs w:val="24"/>
        </w:rPr>
        <w:t>，如因采购人场地准备未达到安装要求，则交货期顺延。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履约地点：资阳市雁江区人民医院。</w:t>
      </w:r>
    </w:p>
    <w:p w:rsidR="00B0577D" w:rsidRDefault="004C76E4">
      <w:pPr>
        <w:pStyle w:val="BodyText"/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hint="eastAsia"/>
        </w:rPr>
        <w:t>产品质保：</w:t>
      </w:r>
      <w:r>
        <w:rPr>
          <w:rFonts w:asciiTheme="minorEastAsia" w:hAnsiTheme="minorEastAsia" w:hint="eastAsia"/>
          <w:color w:val="000000" w:themeColor="text1"/>
        </w:rPr>
        <w:t>安装验收合格后≥</w:t>
      </w:r>
      <w:r>
        <w:rPr>
          <w:rFonts w:asciiTheme="minorEastAsia" w:hAnsiTheme="minorEastAsia" w:hint="eastAsia"/>
          <w:color w:val="000000" w:themeColor="text1"/>
        </w:rPr>
        <w:t>1</w:t>
      </w:r>
      <w:r>
        <w:rPr>
          <w:rFonts w:asciiTheme="minorEastAsia" w:hAnsiTheme="minorEastAsia" w:hint="eastAsia"/>
          <w:color w:val="000000" w:themeColor="text1"/>
        </w:rPr>
        <w:t>年</w:t>
      </w:r>
      <w:r>
        <w:rPr>
          <w:rFonts w:asciiTheme="minorEastAsia" w:hAnsiTheme="minorEastAsia" w:hint="eastAsia"/>
        </w:rPr>
        <w:t>，</w:t>
      </w:r>
      <w:r>
        <w:rPr>
          <w:rFonts w:ascii="宋体" w:hAnsi="宋体" w:cs="宋体" w:hint="eastAsia"/>
          <w:color w:val="000000"/>
        </w:rPr>
        <w:t>法定质保期与此不一致的，以较长者为准，</w:t>
      </w:r>
      <w:r>
        <w:rPr>
          <w:rFonts w:asciiTheme="minorEastAsia" w:hAnsiTheme="minorEastAsia" w:hint="eastAsia"/>
        </w:rPr>
        <w:t>终身保养维修；（易损件与人为因素损坏除外）。</w:t>
      </w:r>
    </w:p>
    <w:p w:rsidR="00B0577D" w:rsidRDefault="004C76E4">
      <w:pPr>
        <w:pStyle w:val="BodyText"/>
        <w:spacing w:line="360" w:lineRule="auto"/>
        <w:ind w:firstLineChars="200" w:firstLine="480"/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售后服务要求：</w:t>
      </w:r>
      <w:r>
        <w:rPr>
          <w:rFonts w:asciiTheme="minorEastAsia" w:hAnsiTheme="minorEastAsia" w:hint="eastAsia"/>
        </w:rPr>
        <w:t>技术支持与售后服务：供应商应具有完善的售后服务体系，并在接到用户维修要求后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小时内作出响应，并在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小时内派技术人员到达采购人现场实施维修。</w:t>
      </w:r>
    </w:p>
    <w:p w:rsidR="00B0577D" w:rsidRDefault="004C76E4">
      <w:pPr>
        <w:pStyle w:val="BodyText"/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="宋体-18030" w:hint="eastAsia"/>
          <w:kern w:val="0"/>
        </w:rPr>
        <w:t>5.</w:t>
      </w:r>
      <w:r>
        <w:rPr>
          <w:rFonts w:asciiTheme="minorEastAsia" w:hAnsiTheme="minorEastAsia" w:cs="宋体-18030" w:hint="eastAsia"/>
          <w:kern w:val="0"/>
          <w:lang w:val="zh-CN"/>
        </w:rPr>
        <w:t>付款方式：</w:t>
      </w:r>
      <w:r>
        <w:rPr>
          <w:rFonts w:asciiTheme="minorEastAsia" w:hAnsiTheme="minorEastAsia" w:hint="eastAsia"/>
          <w:color w:val="000000" w:themeColor="text1"/>
        </w:rPr>
        <w:t>货物到达交货地点</w:t>
      </w:r>
      <w:r>
        <w:rPr>
          <w:rFonts w:asciiTheme="minorEastAsia" w:hAnsiTheme="minorEastAsia" w:hint="eastAsia"/>
          <w:color w:val="000000" w:themeColor="text1"/>
        </w:rPr>
        <w:t>(</w:t>
      </w:r>
      <w:r>
        <w:rPr>
          <w:rFonts w:asciiTheme="minorEastAsia" w:hAnsiTheme="minorEastAsia" w:hint="eastAsia"/>
          <w:color w:val="000000" w:themeColor="text1"/>
        </w:rPr>
        <w:t>资阳市雁江区人民医院设备安装现场</w:t>
      </w:r>
      <w:r>
        <w:rPr>
          <w:rFonts w:asciiTheme="minorEastAsia" w:hAnsiTheme="minorEastAsia" w:hint="eastAsia"/>
          <w:color w:val="000000" w:themeColor="text1"/>
        </w:rPr>
        <w:t>)</w:t>
      </w:r>
      <w:r>
        <w:rPr>
          <w:rFonts w:asciiTheme="minorEastAsia" w:hAnsiTheme="minorEastAsia" w:hint="eastAsia"/>
          <w:color w:val="000000" w:themeColor="text1"/>
        </w:rPr>
        <w:t>，经安装、调试、验收合格后</w:t>
      </w:r>
      <w:r>
        <w:rPr>
          <w:rFonts w:asciiTheme="minorEastAsia" w:hAnsiTheme="minorEastAsia" w:hint="eastAsia"/>
          <w:color w:val="000000" w:themeColor="text1"/>
        </w:rPr>
        <w:t>30</w:t>
      </w:r>
      <w:r>
        <w:rPr>
          <w:rFonts w:asciiTheme="minorEastAsia" w:hAnsiTheme="minorEastAsia" w:hint="eastAsia"/>
          <w:color w:val="000000" w:themeColor="text1"/>
        </w:rPr>
        <w:t>个工作日内转账支付合同总金额</w:t>
      </w:r>
      <w:r>
        <w:rPr>
          <w:rFonts w:asciiTheme="minorEastAsia" w:hAnsiTheme="minorEastAsia" w:hint="eastAsia"/>
          <w:color w:val="000000" w:themeColor="text1"/>
        </w:rPr>
        <w:t>95%</w:t>
      </w:r>
      <w:r>
        <w:rPr>
          <w:rFonts w:asciiTheme="minorEastAsia" w:hAnsiTheme="minorEastAsia" w:hint="eastAsia"/>
          <w:color w:val="000000" w:themeColor="text1"/>
        </w:rPr>
        <w:t>的货款，余款</w:t>
      </w:r>
      <w:r>
        <w:rPr>
          <w:rFonts w:asciiTheme="minorEastAsia" w:hAnsiTheme="minorEastAsia" w:hint="eastAsia"/>
          <w:color w:val="000000" w:themeColor="text1"/>
        </w:rPr>
        <w:t>5%</w:t>
      </w:r>
      <w:r>
        <w:rPr>
          <w:rFonts w:asciiTheme="minorEastAsia" w:hAnsiTheme="minorEastAsia" w:hint="eastAsia"/>
          <w:color w:val="000000" w:themeColor="text1"/>
        </w:rPr>
        <w:t>在质保期到期后的</w:t>
      </w:r>
      <w:r>
        <w:rPr>
          <w:rFonts w:asciiTheme="minorEastAsia" w:hAnsiTheme="minorEastAsia" w:hint="eastAsia"/>
          <w:color w:val="000000" w:themeColor="text1"/>
        </w:rPr>
        <w:t>30</w:t>
      </w:r>
      <w:r>
        <w:rPr>
          <w:rFonts w:asciiTheme="minorEastAsia" w:hAnsiTheme="minorEastAsia" w:hint="eastAsia"/>
          <w:color w:val="000000" w:themeColor="text1"/>
        </w:rPr>
        <w:t>个工作日内无任何质量及违约问题全部无息转账付清（如质保期内产品出现质量问题则余款支付期相应顺延）。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6.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验收：本项目采购人将参照《财政部关于进一步加强政府采购需求</w:t>
      </w:r>
      <w:r>
        <w:rPr>
          <w:rFonts w:asciiTheme="minorEastAsia" w:hAnsiTheme="minorEastAsia" w:hint="eastAsia"/>
          <w:sz w:val="24"/>
        </w:rPr>
        <w:t>和履约验收管理的指导意见》（财库</w:t>
      </w:r>
      <w:r>
        <w:rPr>
          <w:rFonts w:asciiTheme="minorEastAsia" w:hAnsiTheme="minorEastAsia" w:hint="eastAsia"/>
          <w:sz w:val="24"/>
        </w:rPr>
        <w:t>[2016]205</w:t>
      </w:r>
      <w:r>
        <w:rPr>
          <w:rFonts w:asciiTheme="minorEastAsia" w:hAnsiTheme="minorEastAsia" w:hint="eastAsia"/>
          <w:sz w:val="24"/>
        </w:rPr>
        <w:t>号）、资阳市财政局《关于严格落实政府</w:t>
      </w:r>
      <w:r>
        <w:rPr>
          <w:rFonts w:asciiTheme="minorEastAsia" w:hAnsiTheme="minorEastAsia" w:hint="eastAsia"/>
          <w:sz w:val="24"/>
        </w:rPr>
        <w:lastRenderedPageBreak/>
        <w:t>采购需求论证、合同备案和履约验收有关问题的通知》（资财采〔</w:t>
      </w:r>
      <w:r>
        <w:rPr>
          <w:rFonts w:asciiTheme="minorEastAsia" w:hAnsiTheme="minorEastAsia" w:hint="eastAsia"/>
          <w:sz w:val="24"/>
        </w:rPr>
        <w:t>2019</w:t>
      </w:r>
      <w:r>
        <w:rPr>
          <w:rFonts w:asciiTheme="minorEastAsia" w:hAnsiTheme="minorEastAsia" w:hint="eastAsia"/>
          <w:sz w:val="24"/>
        </w:rPr>
        <w:t>〕</w:t>
      </w:r>
      <w:r>
        <w:rPr>
          <w:rFonts w:asciiTheme="minorEastAsia" w:hAnsiTheme="minorEastAsia" w:hint="eastAsia"/>
          <w:sz w:val="24"/>
        </w:rPr>
        <w:t>39</w:t>
      </w:r>
      <w:r w:rsidR="00FB11B6">
        <w:rPr>
          <w:rFonts w:asciiTheme="minorEastAsia" w:hAnsiTheme="minorEastAsia" w:hint="eastAsia"/>
          <w:sz w:val="24"/>
        </w:rPr>
        <w:t>号）</w:t>
      </w:r>
      <w:r>
        <w:rPr>
          <w:rFonts w:asciiTheme="minorEastAsia" w:hAnsiTheme="minorEastAsia" w:hint="eastAsia"/>
          <w:sz w:val="24"/>
        </w:rPr>
        <w:t>等相关文件进行验收。</w:t>
      </w:r>
    </w:p>
    <w:p w:rsidR="00B0577D" w:rsidRDefault="004C76E4">
      <w:pPr>
        <w:spacing w:line="360" w:lineRule="auto"/>
        <w:ind w:firstLineChars="200" w:firstLine="482"/>
        <w:rPr>
          <w:rFonts w:asciiTheme="minorEastAsia" w:hAnsiTheme="minorEastAsia" w:cs="宋体-18030"/>
          <w:b/>
          <w:kern w:val="0"/>
          <w:sz w:val="24"/>
          <w:lang w:val="zh-CN"/>
        </w:rPr>
      </w:pPr>
      <w:bookmarkStart w:id="0" w:name="_Toc56091117"/>
      <w:r>
        <w:rPr>
          <w:rFonts w:asciiTheme="minorEastAsia" w:hAnsiTheme="minorEastAsia" w:cs="宋体-18030" w:hint="eastAsia"/>
          <w:b/>
          <w:kern w:val="0"/>
          <w:sz w:val="24"/>
          <w:lang w:val="zh-CN"/>
        </w:rPr>
        <w:t>三、供应商资格要求及证明材料</w:t>
      </w:r>
      <w:bookmarkEnd w:id="0"/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（一）资格要求相关证明材料：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1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具有独立承担民事责任的能力（提供复印件）；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1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）供应商若为企业法人：提供“统一社会信用代码营业执照”；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2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）供应商若为事业法人：提供“统一社会信用代码法人登记证书”；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3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）供应商若为其他组织：提供“对应主管部门颁发的准许执业证明文件或营业执照”；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4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）供应商若为自然人：提供“身份证明材料”。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2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具备良好商业信誉的证明材料（提供承诺函原件）；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3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具备健全的财务会计制度的证明材料（提供承诺函原件）；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4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具有依法缴纳税收和社会保障资金的良好记录（提供承诺函原件）；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5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具备履行合同所必需的设备和专业技术能力的证明材料（提供承诺函原件）；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6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参加政府采购活动前</w:t>
      </w:r>
      <w:r>
        <w:rPr>
          <w:rFonts w:asciiTheme="minorEastAsia" w:hAnsiTheme="minorEastAsia" w:cs="宋体-18030"/>
          <w:kern w:val="0"/>
          <w:sz w:val="24"/>
          <w:lang w:val="zh-CN"/>
        </w:rPr>
        <w:t>3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年内在经营活动中没有重大违法记录（提供承诺函原件）；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7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具备法律、行政法规规定的其他条件的证明材料（提供承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诺函原件）；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8.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根据采购项目提出的特殊条件：无。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（二）其他类似效力要求相关证明材料：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1.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法定代表人</w:t>
      </w:r>
      <w:r>
        <w:rPr>
          <w:rFonts w:asciiTheme="minorEastAsia" w:hAnsiTheme="minorEastAsia" w:cs="宋体-18030"/>
          <w:kern w:val="0"/>
          <w:sz w:val="24"/>
          <w:lang w:val="zh-CN"/>
        </w:rPr>
        <w:t>/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单位负责人身份证明书原件及身份证明材料复印件；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2.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法定代表人</w:t>
      </w:r>
      <w:r>
        <w:rPr>
          <w:rFonts w:asciiTheme="minorEastAsia" w:hAnsiTheme="minorEastAsia" w:cs="宋体-18030"/>
          <w:kern w:val="0"/>
          <w:sz w:val="24"/>
          <w:lang w:val="zh-CN"/>
        </w:rPr>
        <w:t>/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单位负责人授权书原件及被授权人身份证明材料复印件。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（注：由法定代表人</w:t>
      </w:r>
      <w:r>
        <w:rPr>
          <w:rFonts w:asciiTheme="minorEastAsia" w:hAnsiTheme="minorEastAsia" w:cs="宋体-18030"/>
          <w:kern w:val="0"/>
          <w:sz w:val="24"/>
          <w:lang w:val="zh-CN"/>
        </w:rPr>
        <w:t>/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单位负责人本人参与的，可不提供法定代表人</w:t>
      </w:r>
      <w:r>
        <w:rPr>
          <w:rFonts w:asciiTheme="minorEastAsia" w:hAnsiTheme="minorEastAsia" w:cs="宋体-18030"/>
          <w:kern w:val="0"/>
          <w:sz w:val="24"/>
          <w:lang w:val="zh-CN"/>
        </w:rPr>
        <w:t>/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单位负责人授权书）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注：以上要求的资料均须加盖供应商单位的公章（鲜章）。</w:t>
      </w:r>
    </w:p>
    <w:p w:rsidR="00B0577D" w:rsidRDefault="004C76E4">
      <w:pPr>
        <w:spacing w:line="360" w:lineRule="auto"/>
        <w:ind w:firstLineChars="200" w:firstLine="482"/>
        <w:rPr>
          <w:rFonts w:asciiTheme="minorEastAsia" w:hAnsiTheme="minorEastAsia" w:cs="宋体-18030"/>
          <w:b/>
          <w:kern w:val="0"/>
          <w:sz w:val="24"/>
        </w:rPr>
      </w:pPr>
      <w:r>
        <w:rPr>
          <w:rFonts w:asciiTheme="minorEastAsia" w:hAnsiTheme="minorEastAsia" w:cs="宋体-18030" w:hint="eastAsia"/>
          <w:b/>
          <w:bCs/>
          <w:kern w:val="0"/>
          <w:sz w:val="24"/>
        </w:rPr>
        <w:t>四、响应文件要求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bCs/>
          <w:kern w:val="0"/>
          <w:sz w:val="24"/>
        </w:rPr>
        <w:t>1.</w:t>
      </w:r>
      <w:r>
        <w:rPr>
          <w:rFonts w:asciiTheme="minorEastAsia" w:hAnsiTheme="minorEastAsia" w:cs="宋体-18030" w:hint="eastAsia"/>
          <w:bCs/>
          <w:kern w:val="0"/>
          <w:sz w:val="24"/>
        </w:rPr>
        <w:t>数量：正本一份。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2.</w:t>
      </w:r>
      <w:r>
        <w:rPr>
          <w:rFonts w:asciiTheme="minorEastAsia" w:hAnsiTheme="minorEastAsia" w:cs="宋体-18030" w:hint="eastAsia"/>
          <w:kern w:val="0"/>
          <w:sz w:val="24"/>
        </w:rPr>
        <w:t>响应文件签署：应根据询价文件的要求制作，签署、盖章和内容应完整。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3.</w:t>
      </w:r>
      <w:r>
        <w:rPr>
          <w:rFonts w:asciiTheme="minorEastAsia" w:hAnsiTheme="minorEastAsia" w:cs="宋体-18030" w:hint="eastAsia"/>
          <w:kern w:val="0"/>
          <w:sz w:val="24"/>
        </w:rPr>
        <w:t>响应文件制作：统一用汉语编制、</w:t>
      </w:r>
      <w:r>
        <w:rPr>
          <w:rFonts w:asciiTheme="minorEastAsia" w:hAnsiTheme="minorEastAsia" w:cs="宋体-18030" w:hint="eastAsia"/>
          <w:kern w:val="0"/>
          <w:sz w:val="24"/>
        </w:rPr>
        <w:t>A4</w:t>
      </w:r>
      <w:r>
        <w:rPr>
          <w:rFonts w:asciiTheme="minorEastAsia" w:hAnsiTheme="minorEastAsia" w:cs="宋体-18030" w:hint="eastAsia"/>
          <w:kern w:val="0"/>
          <w:sz w:val="24"/>
        </w:rPr>
        <w:t>幅面纸印制，采用非活页方式装订</w:t>
      </w:r>
      <w:r>
        <w:rPr>
          <w:rFonts w:asciiTheme="minorEastAsia" w:hAnsiTheme="minorEastAsia" w:cs="宋体-18030" w:hint="eastAsia"/>
          <w:kern w:val="0"/>
          <w:sz w:val="24"/>
        </w:rPr>
        <w:lastRenderedPageBreak/>
        <w:t>后密封，并在封面处标注本项目名称、申请人名称、联系人、联系电话。</w:t>
      </w:r>
    </w:p>
    <w:p w:rsidR="00B0577D" w:rsidRDefault="004C76E4">
      <w:pPr>
        <w:spacing w:line="360" w:lineRule="auto"/>
        <w:ind w:firstLineChars="200" w:firstLine="482"/>
        <w:rPr>
          <w:rFonts w:asciiTheme="minorEastAsia" w:hAnsiTheme="minorEastAsia" w:cs="宋体-18030"/>
          <w:b/>
          <w:kern w:val="0"/>
          <w:sz w:val="24"/>
        </w:rPr>
      </w:pPr>
      <w:r>
        <w:rPr>
          <w:rFonts w:asciiTheme="minorEastAsia" w:hAnsiTheme="minorEastAsia" w:cs="宋体-18030" w:hint="eastAsia"/>
          <w:b/>
          <w:kern w:val="0"/>
          <w:sz w:val="24"/>
        </w:rPr>
        <w:t>五</w:t>
      </w:r>
      <w:r>
        <w:rPr>
          <w:rFonts w:asciiTheme="minorEastAsia" w:hAnsiTheme="minorEastAsia" w:cs="宋体-18030" w:hint="eastAsia"/>
          <w:b/>
          <w:kern w:val="0"/>
          <w:sz w:val="24"/>
          <w:lang w:val="zh-CN"/>
        </w:rPr>
        <w:t>、</w:t>
      </w:r>
      <w:r>
        <w:rPr>
          <w:rFonts w:asciiTheme="minorEastAsia" w:hAnsiTheme="minorEastAsia" w:cs="宋体-18030" w:hint="eastAsia"/>
          <w:b/>
          <w:bCs/>
          <w:kern w:val="0"/>
          <w:sz w:val="24"/>
        </w:rPr>
        <w:t>响应文件的递交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1.</w:t>
      </w:r>
      <w:r>
        <w:rPr>
          <w:rFonts w:asciiTheme="minorEastAsia" w:hAnsiTheme="minorEastAsia" w:cs="宋体-18030" w:hint="eastAsia"/>
          <w:kern w:val="0"/>
          <w:sz w:val="24"/>
        </w:rPr>
        <w:t>递交响应文件截止时间：</w:t>
      </w:r>
      <w:bookmarkStart w:id="1" w:name="_GoBack"/>
      <w:r>
        <w:rPr>
          <w:rFonts w:asciiTheme="minorEastAsia" w:hAnsiTheme="minorEastAsia" w:cs="宋体-18030" w:hint="eastAsia"/>
          <w:color w:val="000000" w:themeColor="text1"/>
          <w:kern w:val="0"/>
          <w:sz w:val="24"/>
        </w:rPr>
        <w:t>2023</w:t>
      </w:r>
      <w:r>
        <w:rPr>
          <w:rFonts w:asciiTheme="minorEastAsia" w:hAnsiTheme="minorEastAsia" w:cs="宋体-18030" w:hint="eastAsia"/>
          <w:color w:val="000000" w:themeColor="text1"/>
          <w:kern w:val="0"/>
          <w:sz w:val="24"/>
        </w:rPr>
        <w:t>年</w:t>
      </w:r>
      <w:r>
        <w:rPr>
          <w:rFonts w:asciiTheme="minorEastAsia" w:hAnsiTheme="minorEastAsia" w:cs="宋体-18030" w:hint="eastAsia"/>
          <w:color w:val="000000" w:themeColor="text1"/>
          <w:kern w:val="0"/>
          <w:sz w:val="24"/>
        </w:rPr>
        <w:t>0</w:t>
      </w:r>
      <w:r>
        <w:rPr>
          <w:rFonts w:asciiTheme="minorEastAsia" w:hAnsiTheme="minorEastAsia" w:cs="宋体-18030" w:hint="eastAsia"/>
          <w:color w:val="000000" w:themeColor="text1"/>
          <w:kern w:val="0"/>
          <w:sz w:val="24"/>
        </w:rPr>
        <w:t>6</w:t>
      </w:r>
      <w:r>
        <w:rPr>
          <w:rFonts w:asciiTheme="minorEastAsia" w:hAnsiTheme="minorEastAsia" w:cs="宋体-18030" w:hint="eastAsia"/>
          <w:color w:val="000000" w:themeColor="text1"/>
          <w:kern w:val="0"/>
          <w:sz w:val="24"/>
        </w:rPr>
        <w:t>月</w:t>
      </w:r>
      <w:r>
        <w:rPr>
          <w:rFonts w:asciiTheme="minorEastAsia" w:hAnsiTheme="minorEastAsia" w:cs="宋体-18030" w:hint="eastAsia"/>
          <w:color w:val="000000" w:themeColor="text1"/>
          <w:kern w:val="0"/>
          <w:sz w:val="24"/>
        </w:rPr>
        <w:t>19</w:t>
      </w:r>
      <w:r>
        <w:rPr>
          <w:rFonts w:asciiTheme="minorEastAsia" w:hAnsiTheme="minorEastAsia" w:cs="宋体-18030" w:hint="eastAsia"/>
          <w:color w:val="000000" w:themeColor="text1"/>
          <w:kern w:val="0"/>
          <w:sz w:val="24"/>
        </w:rPr>
        <w:t>日</w:t>
      </w:r>
      <w:r>
        <w:rPr>
          <w:rFonts w:asciiTheme="minorEastAsia" w:hAnsiTheme="minorEastAsia" w:cs="宋体-18030" w:hint="eastAsia"/>
          <w:color w:val="000000" w:themeColor="text1"/>
          <w:kern w:val="0"/>
          <w:sz w:val="24"/>
        </w:rPr>
        <w:t>11:00</w:t>
      </w:r>
      <w:r>
        <w:rPr>
          <w:rFonts w:asciiTheme="minorEastAsia" w:hAnsiTheme="minorEastAsia" w:cs="宋体-18030" w:hint="eastAsia"/>
          <w:color w:val="000000" w:themeColor="text1"/>
          <w:kern w:val="0"/>
          <w:sz w:val="24"/>
        </w:rPr>
        <w:t>（北京时间）</w:t>
      </w:r>
      <w:bookmarkEnd w:id="1"/>
      <w:r>
        <w:rPr>
          <w:rFonts w:asciiTheme="minorEastAsia" w:hAnsiTheme="minorEastAsia" w:cs="宋体-18030" w:hint="eastAsia"/>
          <w:kern w:val="0"/>
          <w:sz w:val="24"/>
        </w:rPr>
        <w:t>。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2.</w:t>
      </w:r>
      <w:r>
        <w:rPr>
          <w:rFonts w:asciiTheme="minorEastAsia" w:hAnsiTheme="minorEastAsia" w:cs="宋体-18030" w:hint="eastAsia"/>
          <w:kern w:val="0"/>
          <w:sz w:val="24"/>
        </w:rPr>
        <w:t>递交响应文件地点：资阳市雁江区人民医院采购办（住院部</w:t>
      </w:r>
      <w:r>
        <w:rPr>
          <w:rFonts w:asciiTheme="minorEastAsia" w:hAnsiTheme="minorEastAsia" w:cs="宋体-18030" w:hint="eastAsia"/>
          <w:kern w:val="0"/>
          <w:sz w:val="24"/>
        </w:rPr>
        <w:t>12</w:t>
      </w:r>
      <w:r>
        <w:rPr>
          <w:rFonts w:asciiTheme="minorEastAsia" w:hAnsiTheme="minorEastAsia" w:cs="宋体-18030" w:hint="eastAsia"/>
          <w:kern w:val="0"/>
          <w:sz w:val="24"/>
        </w:rPr>
        <w:t>楼）。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</w:rPr>
        <w:t>3.</w:t>
      </w:r>
      <w:r>
        <w:rPr>
          <w:rFonts w:asciiTheme="minorEastAsia" w:hAnsiTheme="minorEastAsia" w:cs="宋体-18030" w:hint="eastAsia"/>
          <w:kern w:val="0"/>
          <w:sz w:val="24"/>
        </w:rPr>
        <w:t>逾期送达或者未送达指定地点的响应文件，采购人不予受理。</w:t>
      </w:r>
    </w:p>
    <w:p w:rsidR="00B0577D" w:rsidRDefault="004C76E4">
      <w:pPr>
        <w:spacing w:line="360" w:lineRule="auto"/>
        <w:ind w:firstLineChars="200" w:firstLine="482"/>
        <w:rPr>
          <w:rFonts w:asciiTheme="minorEastAsia" w:hAnsiTheme="minorEastAsia" w:cs="宋体-18030"/>
          <w:b/>
          <w:kern w:val="0"/>
          <w:sz w:val="24"/>
        </w:rPr>
      </w:pPr>
      <w:r>
        <w:rPr>
          <w:rFonts w:asciiTheme="minorEastAsia" w:hAnsiTheme="minorEastAsia" w:cs="宋体-18030" w:hint="eastAsia"/>
          <w:b/>
          <w:kern w:val="0"/>
          <w:sz w:val="24"/>
        </w:rPr>
        <w:t>六、联系方式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采购人：资阳市雁江区人民医院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采购人地址：资阳市雁江区城东新区蜀乡大道</w:t>
      </w:r>
      <w:r>
        <w:rPr>
          <w:rFonts w:asciiTheme="minorEastAsia" w:hAnsiTheme="minorEastAsia" w:cs="宋体-18030" w:hint="eastAsia"/>
          <w:kern w:val="0"/>
          <w:sz w:val="24"/>
        </w:rPr>
        <w:t>669</w:t>
      </w:r>
      <w:r>
        <w:rPr>
          <w:rFonts w:asciiTheme="minorEastAsia" w:hAnsiTheme="minorEastAsia" w:cs="宋体-18030" w:hint="eastAsia"/>
          <w:kern w:val="0"/>
          <w:sz w:val="24"/>
        </w:rPr>
        <w:t>号</w:t>
      </w:r>
    </w:p>
    <w:p w:rsidR="00B0577D" w:rsidRDefault="004C76E4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联系方式：采购办</w:t>
      </w:r>
      <w:r>
        <w:rPr>
          <w:rFonts w:asciiTheme="minorEastAsia" w:hAnsiTheme="minorEastAsia" w:cs="宋体-18030" w:hint="eastAsia"/>
          <w:kern w:val="0"/>
          <w:sz w:val="24"/>
        </w:rPr>
        <w:t xml:space="preserve"> 028-26346672</w:t>
      </w:r>
    </w:p>
    <w:p w:rsidR="00B0577D" w:rsidRDefault="004C76E4">
      <w:pPr>
        <w:spacing w:line="360" w:lineRule="auto"/>
        <w:ind w:firstLineChars="200" w:firstLine="482"/>
        <w:rPr>
          <w:rFonts w:asciiTheme="minorEastAsia" w:hAnsiTheme="minorEastAsia" w:cs="宋体-18030"/>
          <w:b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b/>
          <w:kern w:val="0"/>
          <w:sz w:val="24"/>
          <w:lang w:val="zh-CN"/>
        </w:rPr>
        <w:t>七、</w:t>
      </w:r>
      <w:r>
        <w:rPr>
          <w:rFonts w:asciiTheme="minorEastAsia" w:hAnsiTheme="minorEastAsia" w:cs="宋体-18030" w:hint="eastAsia"/>
          <w:b/>
          <w:kern w:val="0"/>
          <w:sz w:val="24"/>
        </w:rPr>
        <w:t>询价采购报价书</w:t>
      </w:r>
      <w:r>
        <w:rPr>
          <w:rFonts w:asciiTheme="minorEastAsia" w:hAnsiTheme="minorEastAsia" w:cs="宋体-18030" w:hint="eastAsia"/>
          <w:b/>
          <w:kern w:val="0"/>
          <w:sz w:val="24"/>
          <w:lang w:val="zh-CN"/>
        </w:rPr>
        <w:t>格式</w:t>
      </w:r>
    </w:p>
    <w:p w:rsidR="00B0577D" w:rsidRDefault="004C76E4">
      <w:pPr>
        <w:spacing w:line="360" w:lineRule="auto"/>
        <w:jc w:val="center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询价采购报价书（模板）</w:t>
      </w:r>
    </w:p>
    <w:p w:rsidR="00B0577D" w:rsidRDefault="004C76E4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资阳市雁江区人民医院：</w:t>
      </w:r>
    </w:p>
    <w:p w:rsidR="00B0577D" w:rsidRDefault="004C76E4">
      <w:pPr>
        <w:spacing w:line="360" w:lineRule="auto"/>
        <w:ind w:firstLine="54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:rsidR="00B0577D" w:rsidRDefault="004C76E4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一、商品报价（金额单位：元）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1916"/>
        <w:gridCol w:w="978"/>
        <w:gridCol w:w="1271"/>
        <w:gridCol w:w="1421"/>
        <w:gridCol w:w="1434"/>
      </w:tblGrid>
      <w:tr w:rsidR="00B0577D">
        <w:trPr>
          <w:trHeight w:val="793"/>
        </w:trPr>
        <w:tc>
          <w:tcPr>
            <w:tcW w:w="879" w:type="pct"/>
            <w:vAlign w:val="center"/>
          </w:tcPr>
          <w:p w:rsidR="00B0577D" w:rsidRDefault="004C76E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品名</w:t>
            </w:r>
          </w:p>
        </w:tc>
        <w:tc>
          <w:tcPr>
            <w:tcW w:w="1125" w:type="pct"/>
            <w:vAlign w:val="center"/>
          </w:tcPr>
          <w:p w:rsidR="00B0577D" w:rsidRDefault="004C76E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574" w:type="pct"/>
            <w:vAlign w:val="center"/>
          </w:tcPr>
          <w:p w:rsidR="00B0577D" w:rsidRDefault="004C76E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746" w:type="pct"/>
            <w:vAlign w:val="center"/>
          </w:tcPr>
          <w:p w:rsidR="00B0577D" w:rsidRDefault="004C76E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834" w:type="pct"/>
            <w:vAlign w:val="center"/>
          </w:tcPr>
          <w:p w:rsidR="00B0577D" w:rsidRDefault="004C76E4">
            <w:pPr>
              <w:spacing w:line="360" w:lineRule="auto"/>
              <w:jc w:val="center"/>
              <w:rPr>
                <w:rFonts w:asciiTheme="minorEastAsia" w:eastAsia="宋体" w:hAnsiTheme="minorEastAsia" w:cs="宋体-18030"/>
                <w:kern w:val="0"/>
                <w:sz w:val="24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</w:rPr>
              <w:t>总价</w:t>
            </w:r>
          </w:p>
        </w:tc>
        <w:tc>
          <w:tcPr>
            <w:tcW w:w="841" w:type="pct"/>
            <w:vAlign w:val="center"/>
          </w:tcPr>
          <w:p w:rsidR="00B0577D" w:rsidRDefault="004C76E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备注</w:t>
            </w:r>
          </w:p>
        </w:tc>
      </w:tr>
      <w:tr w:rsidR="00B0577D">
        <w:trPr>
          <w:trHeight w:val="556"/>
        </w:trPr>
        <w:tc>
          <w:tcPr>
            <w:tcW w:w="879" w:type="pct"/>
            <w:vAlign w:val="center"/>
          </w:tcPr>
          <w:p w:rsidR="00B0577D" w:rsidRDefault="00B05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 w:rsidR="00B0577D" w:rsidRDefault="00B0577D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B0577D" w:rsidRDefault="00B0577D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B0577D" w:rsidRDefault="00B0577D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B0577D" w:rsidRDefault="00B0577D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41" w:type="pct"/>
            <w:vAlign w:val="center"/>
          </w:tcPr>
          <w:p w:rsidR="00B0577D" w:rsidRDefault="00B0577D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B0577D">
        <w:trPr>
          <w:trHeight w:val="556"/>
        </w:trPr>
        <w:tc>
          <w:tcPr>
            <w:tcW w:w="879" w:type="pct"/>
            <w:vAlign w:val="center"/>
          </w:tcPr>
          <w:p w:rsidR="00B0577D" w:rsidRDefault="00B057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 w:rsidR="00B0577D" w:rsidRDefault="00B0577D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B0577D" w:rsidRDefault="00B0577D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B0577D" w:rsidRDefault="00B0577D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B0577D" w:rsidRDefault="00B0577D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41" w:type="pct"/>
            <w:vAlign w:val="center"/>
          </w:tcPr>
          <w:p w:rsidR="00B0577D" w:rsidRDefault="00B0577D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B0577D">
        <w:trPr>
          <w:trHeight w:val="556"/>
        </w:trPr>
        <w:tc>
          <w:tcPr>
            <w:tcW w:w="5000" w:type="pct"/>
            <w:gridSpan w:val="6"/>
            <w:vAlign w:val="center"/>
          </w:tcPr>
          <w:p w:rsidR="00B0577D" w:rsidRDefault="004C76E4">
            <w:pPr>
              <w:spacing w:line="360" w:lineRule="auto"/>
              <w:jc w:val="left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报价合计（大写）：</w:t>
            </w: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 xml:space="preserve">                           </w:t>
            </w: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小写：</w:t>
            </w:r>
          </w:p>
        </w:tc>
      </w:tr>
    </w:tbl>
    <w:p w:rsidR="00B0577D" w:rsidRDefault="004C76E4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说明：</w:t>
      </w:r>
      <w:r>
        <w:rPr>
          <w:rFonts w:asciiTheme="minorEastAsia" w:hAnsiTheme="minorEastAsia" w:cs="宋体-18030" w:hint="eastAsia"/>
          <w:kern w:val="0"/>
          <w:sz w:val="24"/>
        </w:rPr>
        <w:t>本次报价含安装、运输、安装人工费及税费等。</w:t>
      </w:r>
    </w:p>
    <w:p w:rsidR="00B0577D" w:rsidRDefault="004C76E4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二、所投产品是否全部满足本次采购需求：是□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否□</w:t>
      </w:r>
    </w:p>
    <w:p w:rsidR="00B0577D" w:rsidRDefault="004C76E4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三、相关资质证明及承诺是否齐全：是□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否□</w:t>
      </w:r>
    </w:p>
    <w:p w:rsidR="00B0577D" w:rsidRDefault="004C76E4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联系电话：</w:t>
      </w:r>
    </w:p>
    <w:p w:rsidR="00B0577D" w:rsidRDefault="004C76E4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联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系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人：</w:t>
      </w:r>
    </w:p>
    <w:p w:rsidR="00B0577D" w:rsidRDefault="004C76E4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通讯地址：</w:t>
      </w:r>
    </w:p>
    <w:p w:rsidR="00B0577D" w:rsidRDefault="004C76E4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                        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投标人名称（盖章）：</w:t>
      </w:r>
    </w:p>
    <w:p w:rsidR="00B0577D" w:rsidRDefault="004C76E4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                        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法定代表人或授权代表：</w:t>
      </w:r>
    </w:p>
    <w:p w:rsidR="00B0577D" w:rsidRDefault="004C76E4">
      <w:pPr>
        <w:spacing w:line="360" w:lineRule="auto"/>
        <w:rPr>
          <w:sz w:val="28"/>
          <w:szCs w:val="28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                               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年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月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日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</w:t>
      </w:r>
    </w:p>
    <w:sectPr w:rsidR="00B0577D" w:rsidSect="00B05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6E4" w:rsidRDefault="004C76E4" w:rsidP="00FB11B6">
      <w:r>
        <w:separator/>
      </w:r>
    </w:p>
  </w:endnote>
  <w:endnote w:type="continuationSeparator" w:id="1">
    <w:p w:rsidR="004C76E4" w:rsidRDefault="004C76E4" w:rsidP="00FB1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à.ā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6E4" w:rsidRDefault="004C76E4" w:rsidP="00FB11B6">
      <w:r>
        <w:separator/>
      </w:r>
    </w:p>
  </w:footnote>
  <w:footnote w:type="continuationSeparator" w:id="1">
    <w:p w:rsidR="004C76E4" w:rsidRDefault="004C76E4" w:rsidP="00FB11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dmMDMwNGEwOGYzYzJlZmQ0YTBhZWRjYTA0YzIxNzUifQ=="/>
  </w:docVars>
  <w:rsids>
    <w:rsidRoot w:val="000D5BC6"/>
    <w:rsid w:val="000230D4"/>
    <w:rsid w:val="00044082"/>
    <w:rsid w:val="00063B66"/>
    <w:rsid w:val="00091E77"/>
    <w:rsid w:val="000B51C4"/>
    <w:rsid w:val="000B5604"/>
    <w:rsid w:val="000D5BC6"/>
    <w:rsid w:val="00107ACF"/>
    <w:rsid w:val="001113E8"/>
    <w:rsid w:val="00122B2D"/>
    <w:rsid w:val="0013237C"/>
    <w:rsid w:val="00187384"/>
    <w:rsid w:val="00193141"/>
    <w:rsid w:val="001A764E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D794E"/>
    <w:rsid w:val="003E0699"/>
    <w:rsid w:val="003F3378"/>
    <w:rsid w:val="004C6EA1"/>
    <w:rsid w:val="004C76E4"/>
    <w:rsid w:val="004E5AB7"/>
    <w:rsid w:val="004E72F3"/>
    <w:rsid w:val="00523AC3"/>
    <w:rsid w:val="00540B9C"/>
    <w:rsid w:val="00584550"/>
    <w:rsid w:val="0065022F"/>
    <w:rsid w:val="00660B9E"/>
    <w:rsid w:val="006855D4"/>
    <w:rsid w:val="006B6985"/>
    <w:rsid w:val="006E4BF3"/>
    <w:rsid w:val="007218F5"/>
    <w:rsid w:val="00732487"/>
    <w:rsid w:val="00764687"/>
    <w:rsid w:val="0076601E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17798"/>
    <w:rsid w:val="00977209"/>
    <w:rsid w:val="00977AC9"/>
    <w:rsid w:val="009A4FA0"/>
    <w:rsid w:val="009D0A0B"/>
    <w:rsid w:val="009D59FD"/>
    <w:rsid w:val="009E6DF8"/>
    <w:rsid w:val="00A02EFD"/>
    <w:rsid w:val="00A27AF0"/>
    <w:rsid w:val="00A5421F"/>
    <w:rsid w:val="00A56E64"/>
    <w:rsid w:val="00A92B42"/>
    <w:rsid w:val="00AD219D"/>
    <w:rsid w:val="00B0577D"/>
    <w:rsid w:val="00B5503A"/>
    <w:rsid w:val="00B57CA2"/>
    <w:rsid w:val="00B9636C"/>
    <w:rsid w:val="00BA6AE1"/>
    <w:rsid w:val="00BC6E6E"/>
    <w:rsid w:val="00CF0A95"/>
    <w:rsid w:val="00D43EDD"/>
    <w:rsid w:val="00D76CDB"/>
    <w:rsid w:val="00DE2984"/>
    <w:rsid w:val="00DF3A68"/>
    <w:rsid w:val="00E62591"/>
    <w:rsid w:val="00E7392B"/>
    <w:rsid w:val="00E95092"/>
    <w:rsid w:val="00E96321"/>
    <w:rsid w:val="00EA3585"/>
    <w:rsid w:val="00EB1303"/>
    <w:rsid w:val="00EC5235"/>
    <w:rsid w:val="00F815D3"/>
    <w:rsid w:val="00FA5A28"/>
    <w:rsid w:val="00FB0039"/>
    <w:rsid w:val="00FB11B6"/>
    <w:rsid w:val="00FE4DD7"/>
    <w:rsid w:val="00FE7851"/>
    <w:rsid w:val="00FF34C4"/>
    <w:rsid w:val="00FF3BEE"/>
    <w:rsid w:val="00FF4698"/>
    <w:rsid w:val="1CC31199"/>
    <w:rsid w:val="284138AF"/>
    <w:rsid w:val="311B31B5"/>
    <w:rsid w:val="41B859F1"/>
    <w:rsid w:val="47CC38FA"/>
    <w:rsid w:val="47FE21A4"/>
    <w:rsid w:val="4A1252C8"/>
    <w:rsid w:val="6DDF7769"/>
    <w:rsid w:val="7AB229CD"/>
    <w:rsid w:val="7F29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B057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UserStyle2"/>
    <w:qFormat/>
    <w:rsid w:val="00B0577D"/>
    <w:pPr>
      <w:textAlignment w:val="baseline"/>
    </w:pPr>
    <w:rPr>
      <w:sz w:val="24"/>
      <w:szCs w:val="24"/>
    </w:rPr>
  </w:style>
  <w:style w:type="paragraph" w:customStyle="1" w:styleId="UserStyle2">
    <w:name w:val="UserStyle_2"/>
    <w:next w:val="a"/>
    <w:qFormat/>
    <w:rsid w:val="00B0577D"/>
    <w:pPr>
      <w:textAlignment w:val="baseline"/>
    </w:pPr>
    <w:rPr>
      <w:rFonts w:ascii="楷体à.ā" w:eastAsia="楷体à.ā" w:hAnsi="Calibri"/>
      <w:color w:val="000000"/>
      <w:sz w:val="24"/>
    </w:rPr>
  </w:style>
  <w:style w:type="paragraph" w:styleId="a3">
    <w:name w:val="Normal Indent"/>
    <w:basedOn w:val="a"/>
    <w:link w:val="Char"/>
    <w:qFormat/>
    <w:rsid w:val="00B0577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B0577D"/>
    <w:pPr>
      <w:jc w:val="left"/>
    </w:pPr>
  </w:style>
  <w:style w:type="paragraph" w:styleId="a5">
    <w:name w:val="Body Text"/>
    <w:basedOn w:val="a"/>
    <w:next w:val="a"/>
    <w:link w:val="Char1"/>
    <w:uiPriority w:val="99"/>
    <w:qFormat/>
    <w:rsid w:val="00B0577D"/>
    <w:pPr>
      <w:spacing w:after="120"/>
    </w:pPr>
    <w:rPr>
      <w:szCs w:val="24"/>
    </w:rPr>
  </w:style>
  <w:style w:type="paragraph" w:styleId="a6">
    <w:name w:val="Plain Text"/>
    <w:basedOn w:val="a"/>
    <w:link w:val="Char2"/>
    <w:qFormat/>
    <w:rsid w:val="00B0577D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3"/>
    <w:uiPriority w:val="99"/>
    <w:semiHidden/>
    <w:unhideWhenUsed/>
    <w:qFormat/>
    <w:rsid w:val="00B0577D"/>
    <w:rPr>
      <w:sz w:val="18"/>
      <w:szCs w:val="18"/>
    </w:rPr>
  </w:style>
  <w:style w:type="paragraph" w:styleId="a8">
    <w:name w:val="footer"/>
    <w:basedOn w:val="a"/>
    <w:link w:val="Char4"/>
    <w:uiPriority w:val="99"/>
    <w:semiHidden/>
    <w:unhideWhenUsed/>
    <w:rsid w:val="00B05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semiHidden/>
    <w:unhideWhenUsed/>
    <w:rsid w:val="00B05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rsid w:val="00B0577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b">
    <w:name w:val="annotation subject"/>
    <w:basedOn w:val="a4"/>
    <w:next w:val="a4"/>
    <w:link w:val="Char6"/>
    <w:uiPriority w:val="99"/>
    <w:semiHidden/>
    <w:unhideWhenUsed/>
    <w:qFormat/>
    <w:rsid w:val="00B0577D"/>
    <w:rPr>
      <w:b/>
      <w:bCs/>
    </w:rPr>
  </w:style>
  <w:style w:type="table" w:styleId="ac">
    <w:name w:val="Table Grid"/>
    <w:basedOn w:val="a1"/>
    <w:uiPriority w:val="59"/>
    <w:qFormat/>
    <w:rsid w:val="00B05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qFormat/>
    <w:rsid w:val="00B0577D"/>
    <w:rPr>
      <w:sz w:val="21"/>
      <w:szCs w:val="21"/>
    </w:rPr>
  </w:style>
  <w:style w:type="paragraph" w:styleId="ae">
    <w:name w:val="List Paragraph"/>
    <w:basedOn w:val="a"/>
    <w:link w:val="Char7"/>
    <w:qFormat/>
    <w:rsid w:val="00B0577D"/>
    <w:pPr>
      <w:ind w:firstLineChars="200" w:firstLine="420"/>
    </w:pPr>
  </w:style>
  <w:style w:type="character" w:customStyle="1" w:styleId="Char3">
    <w:name w:val="批注框文本 Char"/>
    <w:basedOn w:val="a0"/>
    <w:link w:val="a7"/>
    <w:uiPriority w:val="99"/>
    <w:semiHidden/>
    <w:qFormat/>
    <w:rsid w:val="00B0577D"/>
    <w:rPr>
      <w:sz w:val="18"/>
      <w:szCs w:val="18"/>
    </w:rPr>
  </w:style>
  <w:style w:type="character" w:customStyle="1" w:styleId="Char">
    <w:name w:val="正文缩进 Char"/>
    <w:link w:val="a3"/>
    <w:qFormat/>
    <w:rsid w:val="00B0577D"/>
    <w:rPr>
      <w:rFonts w:ascii="Times New Roman" w:eastAsia="宋体" w:hAnsi="Times New Roman" w:cs="Times New Roman"/>
      <w:szCs w:val="24"/>
    </w:rPr>
  </w:style>
  <w:style w:type="character" w:customStyle="1" w:styleId="Char7">
    <w:name w:val="列出段落 Char"/>
    <w:link w:val="ae"/>
    <w:qFormat/>
    <w:rsid w:val="00B0577D"/>
  </w:style>
  <w:style w:type="paragraph" w:customStyle="1" w:styleId="2">
    <w:name w:val="样式 首行缩进:  2 字符"/>
    <w:basedOn w:val="a"/>
    <w:qFormat/>
    <w:rsid w:val="00B0577D"/>
    <w:pPr>
      <w:spacing w:line="400" w:lineRule="exact"/>
      <w:ind w:firstLineChars="200" w:firstLine="200"/>
    </w:pPr>
    <w:rPr>
      <w:rFonts w:ascii="Times New Roman" w:eastAsia="宋体" w:hAnsi="Times New Roman" w:cs="宋体"/>
      <w:sz w:val="24"/>
      <w:szCs w:val="24"/>
    </w:rPr>
  </w:style>
  <w:style w:type="character" w:customStyle="1" w:styleId="Char1">
    <w:name w:val="正文文本 Char"/>
    <w:link w:val="a5"/>
    <w:uiPriority w:val="99"/>
    <w:qFormat/>
    <w:locked/>
    <w:rsid w:val="00B0577D"/>
    <w:rPr>
      <w:szCs w:val="24"/>
    </w:rPr>
  </w:style>
  <w:style w:type="character" w:customStyle="1" w:styleId="Char10">
    <w:name w:val="正文文本 Char1"/>
    <w:basedOn w:val="a0"/>
    <w:uiPriority w:val="99"/>
    <w:semiHidden/>
    <w:qFormat/>
    <w:rsid w:val="00B0577D"/>
  </w:style>
  <w:style w:type="character" w:customStyle="1" w:styleId="Char0">
    <w:name w:val="批注文字 Char"/>
    <w:basedOn w:val="a0"/>
    <w:link w:val="a4"/>
    <w:uiPriority w:val="99"/>
    <w:semiHidden/>
    <w:qFormat/>
    <w:rsid w:val="00B0577D"/>
  </w:style>
  <w:style w:type="character" w:customStyle="1" w:styleId="Char6">
    <w:name w:val="批注主题 Char"/>
    <w:basedOn w:val="Char0"/>
    <w:link w:val="ab"/>
    <w:uiPriority w:val="99"/>
    <w:semiHidden/>
    <w:qFormat/>
    <w:rsid w:val="00B0577D"/>
    <w:rPr>
      <w:b/>
      <w:bCs/>
    </w:rPr>
  </w:style>
  <w:style w:type="character" w:customStyle="1" w:styleId="Char2">
    <w:name w:val="纯文本 Char"/>
    <w:basedOn w:val="a0"/>
    <w:link w:val="a6"/>
    <w:qFormat/>
    <w:rsid w:val="00B0577D"/>
    <w:rPr>
      <w:rFonts w:ascii="宋体" w:eastAsia="宋体" w:hAnsi="Courier New" w:cs="Courier New"/>
      <w:szCs w:val="21"/>
    </w:rPr>
  </w:style>
  <w:style w:type="character" w:customStyle="1" w:styleId="Char5">
    <w:name w:val="页眉 Char"/>
    <w:basedOn w:val="a0"/>
    <w:link w:val="a9"/>
    <w:uiPriority w:val="99"/>
    <w:semiHidden/>
    <w:rsid w:val="00B0577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4">
    <w:name w:val="页脚 Char"/>
    <w:basedOn w:val="a0"/>
    <w:link w:val="a8"/>
    <w:uiPriority w:val="99"/>
    <w:semiHidden/>
    <w:rsid w:val="00B057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529</Words>
  <Characters>3017</Characters>
  <Application>Microsoft Office Word</Application>
  <DocSecurity>0</DocSecurity>
  <Lines>25</Lines>
  <Paragraphs>7</Paragraphs>
  <ScaleCrop>false</ScaleCrop>
  <Company>微软中国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ZY2</dc:creator>
  <cp:lastModifiedBy>微软用户</cp:lastModifiedBy>
  <cp:revision>83</cp:revision>
  <dcterms:created xsi:type="dcterms:W3CDTF">2020-12-20T07:47:00Z</dcterms:created>
  <dcterms:modified xsi:type="dcterms:W3CDTF">2023-06-14T03:00:00Z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AC2BF5C1B6C048AC88F0A8CA6E1A47E5</vt:lpwstr>
  </property>
</Properties>
</file>